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ascii="微软雅黑" w:hAnsi="微软雅黑" w:eastAsia="微软雅黑"/>
          <w:color w:val="666666"/>
          <w:sz w:val="36"/>
          <w:szCs w:val="36"/>
          <w:shd w:val="clear" w:color="auto" w:fill="FFFFFF"/>
        </w:rPr>
      </w:pPr>
      <w:r>
        <w:rPr>
          <w:rStyle w:val="3"/>
          <w:rFonts w:hint="eastAsia" w:ascii="微软雅黑" w:hAnsi="微软雅黑" w:eastAsia="微软雅黑"/>
          <w:color w:val="666666"/>
          <w:sz w:val="36"/>
          <w:szCs w:val="36"/>
          <w:shd w:val="clear" w:color="auto" w:fill="FFFFFF"/>
        </w:rPr>
        <w:t>海澜集团公司</w:t>
      </w:r>
    </w:p>
    <w:p>
      <w:pPr>
        <w:jc w:val="center"/>
        <w:rPr>
          <w:rStyle w:val="3"/>
          <w:rFonts w:ascii="微软雅黑" w:hAnsi="微软雅黑" w:eastAsia="微软雅黑"/>
          <w:color w:val="666666"/>
          <w:sz w:val="36"/>
          <w:szCs w:val="36"/>
          <w:shd w:val="clear" w:color="auto" w:fill="FFFFFF"/>
        </w:rPr>
      </w:pPr>
      <w:r>
        <w:rPr>
          <w:rStyle w:val="3"/>
          <w:rFonts w:hint="eastAsia" w:ascii="微软雅黑" w:hAnsi="微软雅黑" w:eastAsia="微软雅黑"/>
          <w:color w:val="666666"/>
          <w:sz w:val="36"/>
          <w:szCs w:val="36"/>
          <w:shd w:val="clear" w:color="auto" w:fill="FFFFFF"/>
        </w:rPr>
        <w:t>江苏海澜电力有限公司</w:t>
      </w:r>
      <w:r>
        <w:rPr>
          <w:rStyle w:val="3"/>
          <w:rFonts w:hint="eastAsia" w:ascii="微软雅黑" w:hAnsi="微软雅黑" w:eastAsia="微软雅黑"/>
          <w:color w:val="666666"/>
          <w:sz w:val="36"/>
          <w:szCs w:val="36"/>
          <w:shd w:val="clear" w:color="auto" w:fill="FFFFFF"/>
          <w:lang w:val="en-US" w:eastAsia="zh-CN"/>
        </w:rPr>
        <w:t>山东分公司</w:t>
      </w:r>
      <w:r>
        <w:rPr>
          <w:rStyle w:val="3"/>
          <w:rFonts w:hint="eastAsia" w:ascii="微软雅黑" w:hAnsi="微软雅黑" w:eastAsia="微软雅黑"/>
          <w:color w:val="666666"/>
          <w:sz w:val="36"/>
          <w:szCs w:val="36"/>
          <w:shd w:val="clear" w:color="auto" w:fill="FFFFFF"/>
        </w:rPr>
        <w:t>2018年招聘简章</w:t>
      </w:r>
    </w:p>
    <w:p>
      <w:pPr>
        <w:snapToGrid w:val="0"/>
        <w:spacing w:line="500" w:lineRule="exact"/>
        <w:ind w:firstLine="560" w:firstLineChars="200"/>
        <w:rPr>
          <w:rFonts w:hint="eastAsia" w:ascii="Times New Roman" w:cs="Times New Roman" w:hAnsi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ascii="Times New Roman" w:cs="Times New Roman" w:hAnsiTheme="minorEastAsia"/>
          <w:color w:val="333333"/>
          <w:sz w:val="28"/>
          <w:szCs w:val="28"/>
          <w:shd w:val="clear" w:color="auto" w:fill="FFFFFF"/>
        </w:rPr>
        <w:t>江苏海澜电力有限公司（海澜</w:t>
      </w:r>
      <w:r>
        <w:rPr>
          <w:rFonts w:hint="eastAsia" w:ascii="Times New Roman" w:cs="Times New Roman" w:hAnsiTheme="minorEastAsia"/>
          <w:color w:val="333333"/>
          <w:sz w:val="28"/>
          <w:szCs w:val="28"/>
          <w:shd w:val="clear" w:color="auto" w:fill="FFFFFF"/>
        </w:rPr>
        <w:t>集团下属企业</w:t>
      </w:r>
      <w:r>
        <w:rPr>
          <w:rFonts w:ascii="Times New Roman" w:cs="Times New Roman" w:hAnsiTheme="minorEastAsia"/>
          <w:color w:val="333333"/>
          <w:sz w:val="28"/>
          <w:szCs w:val="28"/>
          <w:shd w:val="clear" w:color="auto" w:fill="FFFFFF"/>
        </w:rPr>
        <w:t>）成立于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  <w:r>
        <w:rPr>
          <w:rFonts w:ascii="Times New Roman" w:cs="Times New Roman" w:hAnsiTheme="minorEastAsia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cs="Times New Roman" w:hAnsiTheme="minorEastAsia"/>
          <w:color w:val="333333"/>
          <w:sz w:val="28"/>
          <w:szCs w:val="28"/>
          <w:shd w:val="clear" w:color="auto" w:fill="FFFFFF"/>
        </w:rPr>
        <w:t>月，</w:t>
      </w:r>
      <w:r>
        <w:rPr>
          <w:rFonts w:hint="eastAsia" w:ascii="Times New Roman" w:cs="Times New Roman" w:hAnsiTheme="minorEastAsia"/>
          <w:color w:val="333333"/>
          <w:sz w:val="28"/>
          <w:szCs w:val="28"/>
          <w:shd w:val="clear" w:color="auto" w:fill="FFFFFF"/>
        </w:rPr>
        <w:t>注册资金25000万元，</w:t>
      </w:r>
      <w:r>
        <w:rPr>
          <w:rFonts w:hint="eastAsia" w:ascii="Times New Roman" w:cs="Times New Roman" w:hAnsiTheme="minorEastAsia"/>
          <w:color w:val="333333"/>
          <w:sz w:val="28"/>
          <w:szCs w:val="28"/>
          <w:shd w:val="clear" w:color="auto" w:fill="FFFFFF"/>
          <w:lang w:val="en-US" w:eastAsia="zh-CN"/>
        </w:rPr>
        <w:t>是一家以售电、输变电工程建设为主的综合能源服务公司，2018年7月27日成立江苏海澜电力有限公司山东分公司。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海澜电力于2017年10月12日正式取得售电业务资质，向江苏省电力交易中心缴纳3000万元的履约保函，并于2018年5月3日在山东电力交易中心签订入市协议。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江苏海澜电力有限公司山东分公司，是一家以售电、节能、安装、新能源、智能代维为主的综合能源服务公司。</w:t>
      </w:r>
    </w:p>
    <w:p>
      <w:pPr>
        <w:snapToGrid w:val="0"/>
        <w:spacing w:line="500" w:lineRule="exact"/>
        <w:ind w:firstLine="562" w:firstLineChars="200"/>
        <w:rPr>
          <w:rFonts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cs="Times New Roman" w:hAnsiTheme="minorEastAsia"/>
          <w:b/>
          <w:color w:val="333333"/>
          <w:sz w:val="28"/>
          <w:szCs w:val="28"/>
          <w:shd w:val="clear" w:color="auto" w:fill="FFFFFF"/>
          <w:lang w:val="en-US" w:eastAsia="zh-CN"/>
        </w:rPr>
        <w:t>我们的优势</w:t>
      </w:r>
      <w:r>
        <w:rPr>
          <w:rFonts w:hint="eastAsia"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  <w:t>：</w:t>
      </w:r>
    </w:p>
    <w:p>
      <w:pPr>
        <w:spacing w:line="360" w:lineRule="auto"/>
        <w:ind w:firstLine="700" w:firstLineChars="25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1、依托大集团，海澜集团创建于1988年，现有总资产1000亿元，全国员工有6万余名，2018中国企业500强排列150位，2017年集团营业总收入超1000亿元，利税80亿元，名列无锡地区纳税榜首。</w:t>
      </w:r>
    </w:p>
    <w:p>
      <w:pPr>
        <w:snapToGrid w:val="0"/>
        <w:spacing w:line="500" w:lineRule="exact"/>
        <w:ind w:firstLine="560" w:firstLineChars="2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2、大平台，已建成最大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的能源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互联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网云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平台，实现对客户用电的大数据管理，精准预测用电负荷，控制偏差，能效管理，实现综合能源服务。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id-ID"/>
        </w:rPr>
        <w:t>海澜能源互联网云平台包含了客户信息、在线监测、能量交易等模块，为企业提供全方位的能源管理服务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。</w:t>
      </w:r>
    </w:p>
    <w:p>
      <w:pPr>
        <w:snapToGrid w:val="0"/>
        <w:spacing w:line="500" w:lineRule="exact"/>
        <w:ind w:firstLine="560" w:firstLineChars="200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3、大布局，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t>海澜电力立足江苏进驻山东，致力于为江苏、山东用户提供多元化的能源综合服务，公司“大平台、大数据、大布局”发展格局逐步成型。</w:t>
      </w:r>
    </w:p>
    <w:p>
      <w:pPr>
        <w:snapToGrid w:val="0"/>
        <w:spacing w:line="500" w:lineRule="exact"/>
        <w:ind w:firstLine="560" w:firstLineChars="200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snapToGrid w:val="0"/>
        <w:spacing w:line="500" w:lineRule="exact"/>
        <w:ind w:firstLine="560" w:firstLineChars="200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snapToGrid w:val="0"/>
        <w:spacing w:line="500" w:lineRule="exact"/>
        <w:ind w:firstLine="560" w:firstLineChars="2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</w:rPr>
        <w:t>海澜电力，积极提供各种机会满足员工个人成长及职业发展需求，欢迎能力超卓、富于创新的各类人才加入我们！</w:t>
      </w:r>
    </w:p>
    <w:p>
      <w:pPr>
        <w:snapToGrid w:val="0"/>
        <w:spacing w:line="500" w:lineRule="exact"/>
        <w:ind w:firstLine="562" w:firstLineChars="200"/>
        <w:rPr>
          <w:rFonts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  <w:t>招聘对象：应届高校毕业生</w:t>
      </w:r>
    </w:p>
    <w:p>
      <w:pPr>
        <w:snapToGrid w:val="0"/>
        <w:spacing w:line="500" w:lineRule="exact"/>
        <w:ind w:firstLine="562" w:firstLineChars="200"/>
        <w:rPr>
          <w:rFonts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  <w:t>招聘方向：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一、技术类方向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覆盖专业：电力系统及其自动化、电气工程及其自动化等电力相关专业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任职要求：</w:t>
      </w:r>
      <w:r>
        <w:rPr>
          <w:rFonts w:ascii="微软雅黑" w:hAnsi="微软雅黑" w:eastAsia="微软雅黑" w:cs="宋体"/>
          <w:color w:val="666666"/>
          <w:kern w:val="0"/>
          <w:szCs w:val="21"/>
        </w:rPr>
        <w:t xml:space="preserve"> 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1、电力相关，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专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科及以上学历；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2、</w:t>
      </w:r>
      <w:r>
        <w:rPr>
          <w:rFonts w:hint="eastAsia" w:ascii="微软雅黑" w:hAnsi="微软雅黑" w:eastAsia="微软雅黑" w:cs="宋体"/>
          <w:color w:val="666666"/>
          <w:kern w:val="0"/>
          <w:sz w:val="14"/>
          <w:szCs w:val="14"/>
        </w:rPr>
        <w:t> </w:t>
      </w:r>
      <w:r>
        <w:rPr>
          <w:rFonts w:hint="eastAsia" w:ascii="微软雅黑" w:hAnsi="微软雅黑" w:eastAsia="微软雅黑" w:cs="宋体"/>
          <w:color w:val="666666"/>
          <w:kern w:val="0"/>
          <w:sz w:val="14"/>
        </w:rPr>
        <w:t> 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主要负责继电保护、高压试验、运维与服务、电网监控、新能源等相关工作；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3、专业知识过硬、学习能力强，踏实肯做；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4、较强的责任心、较好的组织协调和沟通能力。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、电力交易方向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覆盖专业：数学、应用数学、计算机、软件、经济、电力等相关专业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任职要求：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电力、经济、数学等相关专业，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专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科及以上学历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对电力行业、电力交易政策及市场有一定的认知，对数据分析有较好的兴趣。；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具备敏锐的数据分析能力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，认真、严谨、做事踏实可靠；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line="375" w:lineRule="atLeast"/>
        <w:ind w:firstLineChars="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懂数学建模，有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类似于期货、金融交易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等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知识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、营销方向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任职要求：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1、电力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营销类、经济类、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电力等相关专业，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专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科及以上学历；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2、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熟练掌握市场营销、电力市场体制改革、大用户直供电交易、电价政策等专业知识，了解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售电、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电力等基本知识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3、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有较强的市场开拓能力和商务公关能力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4、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>具较强的团队合作能力、沟通能力和应变能力，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  较强的责任心、较好的组织协调和沟通能力。</w:t>
      </w:r>
    </w:p>
    <w:p>
      <w:pPr>
        <w:snapToGrid w:val="0"/>
        <w:spacing w:line="500" w:lineRule="exact"/>
        <w:ind w:firstLine="562" w:firstLineChars="200"/>
        <w:rPr>
          <w:rFonts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Times New Roman" w:cs="Times New Roman" w:hAnsiTheme="minorEastAsia"/>
          <w:b/>
          <w:color w:val="333333"/>
          <w:sz w:val="28"/>
          <w:szCs w:val="28"/>
          <w:shd w:val="clear" w:color="auto" w:fill="FFFFFF"/>
        </w:rPr>
        <w:t>需求岗位：</w:t>
      </w:r>
    </w:p>
    <w:tbl>
      <w:tblPr>
        <w:tblStyle w:val="4"/>
        <w:tblW w:w="896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3"/>
        <w:gridCol w:w="2268"/>
        <w:gridCol w:w="1417"/>
        <w:gridCol w:w="13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  <w:t>电气工程</w:t>
            </w: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员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  <w:t>电力系统及其自动化</w:t>
            </w: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、电气类相关专业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  <w:t>交易结算员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数学、</w:t>
            </w:r>
            <w:r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  <w:t>应用数学</w:t>
            </w: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、电力、金融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  <w:t>售电业务员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电力、市场营销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运维管理员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Verdana" w:hAnsi="Verdana" w:eastAsia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 w:val="23"/>
                <w:szCs w:val="23"/>
              </w:rPr>
              <w:t>计算机、软件等相关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spacing w:line="500" w:lineRule="exact"/>
        <w:ind w:firstLine="560" w:firstLineChars="2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rPr>
          <w:rFonts w:ascii="Times New Roman" w:hAnsi="Times New Roman" w:cs="Times New Roman"/>
          <w:b/>
          <w:sz w:val="32"/>
          <w:szCs w:val="28"/>
        </w:rPr>
      </w:pPr>
    </w:p>
    <w:p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联系方式： 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联系人：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  话：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  箱：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hlsd0727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hint="eastAsia" w:ascii="Times New Roman" w:hAnsi="Times New Roman" w:cs="Times New Roman"/>
          <w:sz w:val="28"/>
          <w:szCs w:val="28"/>
        </w:rPr>
        <w:t>qq</w:t>
      </w:r>
      <w:r>
        <w:rPr>
          <w:rFonts w:ascii="Times New Roman" w:hAnsi="Times New Roman" w:cs="Times New Roman"/>
          <w:sz w:val="28"/>
          <w:szCs w:val="28"/>
        </w:rPr>
        <w:t>.c</w:t>
      </w:r>
      <w:r>
        <w:rPr>
          <w:rFonts w:hint="eastAsia" w:ascii="Times New Roman" w:hAnsi="Times New Roman" w:cs="Times New Roman"/>
          <w:sz w:val="28"/>
          <w:szCs w:val="28"/>
        </w:rPr>
        <w:t>om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邮  编：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272073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网  址：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http://</w:t>
      </w:r>
      <w:r>
        <w:rPr>
          <w:rFonts w:ascii="Times New Roman" w:hAnsi="Times New Roman" w:cs="Times New Roman"/>
          <w:sz w:val="28"/>
          <w:szCs w:val="28"/>
        </w:rPr>
        <w:t>www.h</w:t>
      </w:r>
      <w:r>
        <w:rPr>
          <w:rFonts w:hint="eastAsia" w:ascii="Times New Roman" w:hAnsi="Times New Roman" w:cs="Times New Roman"/>
          <w:sz w:val="28"/>
          <w:szCs w:val="28"/>
        </w:rPr>
        <w:t>eilan</w:t>
      </w:r>
      <w:r>
        <w:rPr>
          <w:rFonts w:ascii="Times New Roman" w:hAnsi="Times New Roman" w:cs="Times New Roman"/>
          <w:sz w:val="28"/>
          <w:szCs w:val="28"/>
        </w:rPr>
        <w:t>xny.com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地  址：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山东省济宁市高新区海川路9号资本中心T3楼15A层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位于风景优美的国家级高新区产学研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园内，南邻廖沟河公园及高新区科技馆，抬头仰望蔚蓝色的天空，阳光温馨恬静，蓝天白云飘逸悠扬，形成了一道亮丽的风景线。</w:t>
      </w:r>
    </w:p>
    <w:p>
      <w:pPr>
        <w:snapToGrid w:val="0"/>
        <w:spacing w:line="500" w:lineRule="exact"/>
        <w:ind w:firstLine="560" w:firstLineChars="20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>
      <w:pPr>
        <w:snapToGrid w:val="0"/>
        <w:spacing w:line="240" w:lineRule="auto"/>
        <w:ind w:firstLine="560" w:firstLineChars="200"/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333333"/>
          <w:sz w:val="28"/>
          <w:szCs w:val="28"/>
          <w:shd w:val="clear" w:color="auto" w:fill="FFFFFF"/>
          <w:lang w:val="en-US" w:eastAsia="zh-CN"/>
        </w:rPr>
        <w:drawing>
          <wp:inline distT="0" distB="0" distL="114300" distR="114300">
            <wp:extent cx="5264150" cy="4204970"/>
            <wp:effectExtent l="0" t="0" r="12700" b="5080"/>
            <wp:docPr id="1" name="图片 1" descr="微信图片_2018110512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105125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36F7"/>
    <w:multiLevelType w:val="multilevel"/>
    <w:tmpl w:val="24A036F7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2F1F"/>
    <w:rsid w:val="446018A1"/>
    <w:rsid w:val="46747E95"/>
    <w:rsid w:val="496B2F1F"/>
    <w:rsid w:val="60063DF4"/>
    <w:rsid w:val="77D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2018-11-05T04:28:00Z</dcterms:created>
  <dc:creator>海澜电力</dc:creator>
  <cp:lastModifiedBy>海澜电力</cp:lastModifiedBy>
  <dcterms:modified xsi:type="dcterms:W3CDTF">2018-11-05T05:17:28Z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