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360" w:lineRule="auto"/>
        <w:ind w:left="3" w:leftChars="-85" w:hanging="181" w:hangingChar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6"/>
          <w:szCs w:val="36"/>
        </w:rPr>
        <w:t>迪尔集团有限公司诚聘英才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迪尔集团有限公司位于孔孟之乡、运河之都——山东济宁。由山东省工业设备安装总公司第二公司改制而来，经过六十余年的历史传承和创新发展，现已成为综合实力雄厚、施工技术精湛、机械装备精良、检测手段完善、建设经验丰富、工程业绩斐然的大型综合性施工企业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公司注册资本30066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万元，国家高新技术企业，省级企业技术中心。具有各类施工和检测设备</w:t>
      </w:r>
      <w:r>
        <w:rPr>
          <w:rFonts w:ascii="仿宋" w:hAnsi="仿宋" w:eastAsia="仿宋"/>
          <w:sz w:val="24"/>
          <w:szCs w:val="24"/>
        </w:rPr>
        <w:t xml:space="preserve">3300 </w:t>
      </w:r>
      <w:r>
        <w:rPr>
          <w:rFonts w:hint="eastAsia" w:ascii="仿宋" w:hAnsi="仿宋" w:eastAsia="仿宋"/>
          <w:sz w:val="24"/>
          <w:szCs w:val="24"/>
        </w:rPr>
        <w:t>余台，</w:t>
      </w:r>
      <w:r>
        <w:rPr>
          <w:rFonts w:hint="eastAsia" w:ascii="仿宋" w:hAnsi="仿宋" w:eastAsia="仿宋"/>
          <w:b/>
          <w:sz w:val="24"/>
          <w:szCs w:val="24"/>
        </w:rPr>
        <w:t>拥有电力、建筑、石油化工、机电四项工程施工总承包一级资质，电力行业乙级设计资质，市政公用工程施工总承包二级资质，多项专业承包资质，一级锅炉安装改造、压力管道、压力容器、各种起重机械安装、维修、计量、培训等资质，承装（修、试）电力设施许可证，中国合格评定国家认可委员会实验室认可证书、对外承包工程资格证、对外劳务合作经营资格证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迪尔集团</w:t>
      </w:r>
      <w:r>
        <w:rPr>
          <w:rFonts w:hint="eastAsia" w:ascii="仿宋" w:hAnsi="仿宋" w:eastAsia="仿宋"/>
          <w:b/>
          <w:sz w:val="24"/>
          <w:szCs w:val="24"/>
        </w:rPr>
        <w:t>立足山东，面向全国，走向世界</w:t>
      </w:r>
      <w:r>
        <w:rPr>
          <w:rFonts w:hint="eastAsia" w:ascii="仿宋" w:hAnsi="仿宋" w:eastAsia="仿宋"/>
          <w:sz w:val="24"/>
          <w:szCs w:val="24"/>
        </w:rPr>
        <w:t>，承担了电力、化工、石油、冶金、轻工、机械、医药等多个行业的施工，施工足迹遍布全国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个省、市、自治区，并在印尼、越南、老挝、菲律宾、埃塞俄比亚、阿尔及利亚、莫桑比克、格鲁吉亚、玻利维亚、古巴、俄罗斯、泰国等国家承建了工程。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公司连续多年获得“安全生产、文明施工示范项目”等荣誉称号。多次获得国家建筑工程质量最高奖</w:t>
      </w:r>
      <w:r>
        <w:rPr>
          <w:rFonts w:hint="eastAsia" w:ascii="仿宋" w:hAnsi="仿宋" w:eastAsia="仿宋"/>
          <w:b/>
          <w:sz w:val="24"/>
          <w:szCs w:val="24"/>
        </w:rPr>
        <w:t>——“鲁班奖”</w:t>
      </w:r>
      <w:r>
        <w:rPr>
          <w:rFonts w:hint="eastAsia" w:ascii="仿宋" w:hAnsi="仿宋" w:eastAsia="仿宋"/>
          <w:sz w:val="24"/>
          <w:szCs w:val="24"/>
        </w:rPr>
        <w:t>（国家优质工程），荣获中国建筑业协会</w:t>
      </w:r>
      <w:r>
        <w:rPr>
          <w:rFonts w:hint="eastAsia" w:ascii="仿宋" w:hAnsi="仿宋" w:eastAsia="仿宋"/>
          <w:b/>
          <w:sz w:val="24"/>
          <w:szCs w:val="24"/>
        </w:rPr>
        <w:t>“创鲁班奖工程特别荣誉企业”</w:t>
      </w:r>
      <w:r>
        <w:rPr>
          <w:rFonts w:hint="eastAsia" w:ascii="仿宋" w:hAnsi="仿宋" w:eastAsia="仿宋"/>
          <w:sz w:val="24"/>
          <w:szCs w:val="24"/>
        </w:rPr>
        <w:t>称号。多次荣获国家工程建设质量最高奖</w:t>
      </w:r>
      <w:r>
        <w:rPr>
          <w:rFonts w:ascii="仿宋" w:hAnsi="仿宋" w:eastAsia="仿宋"/>
          <w:b/>
          <w:sz w:val="24"/>
          <w:szCs w:val="24"/>
        </w:rPr>
        <w:t>——</w:t>
      </w:r>
      <w:r>
        <w:rPr>
          <w:rFonts w:hint="eastAsia" w:ascii="仿宋" w:hAnsi="仿宋" w:eastAsia="仿宋"/>
          <w:b/>
          <w:sz w:val="24"/>
          <w:szCs w:val="24"/>
        </w:rPr>
        <w:t>国家优质工程金质奖。</w:t>
      </w:r>
      <w:r>
        <w:rPr>
          <w:rFonts w:hint="eastAsia" w:ascii="仿宋" w:hAnsi="仿宋" w:eastAsia="仿宋"/>
          <w:sz w:val="24"/>
          <w:szCs w:val="24"/>
        </w:rPr>
        <w:t>兖矿国泰项目荣获</w:t>
      </w:r>
      <w:r>
        <w:rPr>
          <w:rFonts w:hint="eastAsia" w:ascii="仿宋" w:hAnsi="仿宋" w:eastAsia="仿宋"/>
          <w:b/>
          <w:sz w:val="24"/>
          <w:szCs w:val="24"/>
        </w:rPr>
        <w:t>“新中国成立六十周年百项经典暨精品工程”</w:t>
      </w:r>
      <w:r>
        <w:rPr>
          <w:rFonts w:hint="eastAsia" w:ascii="仿宋" w:hAnsi="仿宋" w:eastAsia="仿宋"/>
          <w:sz w:val="24"/>
          <w:szCs w:val="24"/>
        </w:rPr>
        <w:t>称号；荣获中国电力建设企业协会颁发的“</w:t>
      </w:r>
      <w:r>
        <w:rPr>
          <w:rFonts w:hint="eastAsia" w:ascii="仿宋" w:hAnsi="仿宋" w:eastAsia="仿宋"/>
          <w:b/>
          <w:sz w:val="24"/>
          <w:szCs w:val="24"/>
        </w:rPr>
        <w:t>中国电力优质工程奖</w:t>
      </w:r>
      <w:r>
        <w:rPr>
          <w:rFonts w:hint="eastAsia" w:ascii="仿宋" w:hAnsi="仿宋" w:eastAsia="仿宋"/>
          <w:sz w:val="24"/>
          <w:szCs w:val="24"/>
        </w:rPr>
        <w:t>”；多次荣获</w:t>
      </w:r>
      <w:r>
        <w:rPr>
          <w:rFonts w:hint="eastAsia" w:ascii="仿宋" w:hAnsi="仿宋" w:eastAsia="仿宋"/>
          <w:b/>
          <w:sz w:val="24"/>
          <w:szCs w:val="24"/>
        </w:rPr>
        <w:t>“中国安装之星”</w:t>
      </w:r>
      <w:r>
        <w:rPr>
          <w:rFonts w:hint="eastAsia" w:ascii="仿宋" w:hAnsi="仿宋" w:eastAsia="仿宋"/>
          <w:sz w:val="24"/>
          <w:szCs w:val="24"/>
        </w:rPr>
        <w:t>，并多次获得省级最高奖，如山东省“</w:t>
      </w:r>
      <w:r>
        <w:rPr>
          <w:rFonts w:hint="eastAsia" w:ascii="仿宋" w:hAnsi="仿宋" w:eastAsia="仿宋"/>
          <w:b/>
          <w:sz w:val="24"/>
          <w:szCs w:val="24"/>
        </w:rPr>
        <w:t>泰山杯</w:t>
      </w:r>
      <w:r>
        <w:rPr>
          <w:rFonts w:hint="eastAsia" w:ascii="仿宋" w:hAnsi="仿宋" w:eastAsia="仿宋"/>
          <w:sz w:val="24"/>
          <w:szCs w:val="24"/>
        </w:rPr>
        <w:t>”、新疆“</w:t>
      </w:r>
      <w:r>
        <w:rPr>
          <w:rFonts w:hint="eastAsia" w:ascii="仿宋" w:hAnsi="仿宋" w:eastAsia="仿宋"/>
          <w:b/>
          <w:sz w:val="24"/>
          <w:szCs w:val="24"/>
        </w:rPr>
        <w:t>天山奖</w:t>
      </w:r>
      <w:r>
        <w:rPr>
          <w:rFonts w:hint="eastAsia" w:ascii="仿宋" w:hAnsi="仿宋" w:eastAsia="仿宋"/>
          <w:sz w:val="24"/>
          <w:szCs w:val="24"/>
        </w:rPr>
        <w:t>”、江苏省“</w:t>
      </w:r>
      <w:r>
        <w:rPr>
          <w:rFonts w:hint="eastAsia" w:ascii="仿宋" w:hAnsi="仿宋" w:eastAsia="仿宋"/>
          <w:b/>
          <w:sz w:val="24"/>
          <w:szCs w:val="24"/>
        </w:rPr>
        <w:t>扬子杯奖</w:t>
      </w:r>
      <w:r>
        <w:rPr>
          <w:rFonts w:hint="eastAsia" w:ascii="仿宋" w:hAnsi="仿宋" w:eastAsia="仿宋"/>
          <w:sz w:val="24"/>
          <w:szCs w:val="24"/>
        </w:rPr>
        <w:t>”、河北省“</w:t>
      </w:r>
      <w:r>
        <w:rPr>
          <w:rFonts w:hint="eastAsia" w:ascii="仿宋" w:hAnsi="仿宋" w:eastAsia="仿宋"/>
          <w:b/>
          <w:sz w:val="24"/>
          <w:szCs w:val="24"/>
        </w:rPr>
        <w:t>优质工程奖</w:t>
      </w:r>
      <w:r>
        <w:rPr>
          <w:rFonts w:hint="eastAsia" w:ascii="仿宋" w:hAnsi="仿宋" w:eastAsia="仿宋"/>
          <w:sz w:val="24"/>
          <w:szCs w:val="24"/>
        </w:rPr>
        <w:t>”等荣誉称号100多项；公司商标被认定为“</w:t>
      </w:r>
      <w:r>
        <w:rPr>
          <w:rFonts w:hint="eastAsia" w:ascii="仿宋" w:hAnsi="仿宋" w:eastAsia="仿宋"/>
          <w:b/>
          <w:bCs/>
          <w:sz w:val="24"/>
          <w:szCs w:val="24"/>
        </w:rPr>
        <w:t>中国驰名商标</w:t>
      </w:r>
      <w:r>
        <w:rPr>
          <w:rFonts w:hint="eastAsia" w:ascii="仿宋" w:hAnsi="仿宋" w:eastAsia="仿宋"/>
          <w:sz w:val="24"/>
          <w:szCs w:val="24"/>
        </w:rPr>
        <w:t>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hint="eastAsia" w:ascii="仿宋" w:hAnsi="仿宋" w:eastAsia="仿宋" w:cs="宋体"/>
          <w:bCs/>
          <w:sz w:val="24"/>
          <w:szCs w:val="24"/>
        </w:rPr>
        <w:t>具有一、二级建造师450余人，中、高级工程师400余人，技师、高级技师300余人；</w:t>
      </w:r>
      <w:r>
        <w:rPr>
          <w:rFonts w:hint="eastAsia" w:ascii="仿宋" w:hAnsi="仿宋" w:eastAsia="仿宋"/>
          <w:sz w:val="24"/>
          <w:szCs w:val="24"/>
        </w:rPr>
        <w:t>公司先后被济宁市评为</w:t>
      </w:r>
      <w:r>
        <w:rPr>
          <w:rFonts w:hint="eastAsia" w:ascii="仿宋" w:hAnsi="仿宋" w:eastAsia="仿宋" w:cs="宋体"/>
          <w:bCs/>
          <w:sz w:val="24"/>
          <w:szCs w:val="24"/>
        </w:rPr>
        <w:t>济宁市高技能人才培养示范基地、</w:t>
      </w:r>
      <w:r>
        <w:rPr>
          <w:rFonts w:hint="eastAsia" w:ascii="仿宋" w:hAnsi="仿宋" w:eastAsia="仿宋"/>
          <w:sz w:val="24"/>
          <w:szCs w:val="24"/>
        </w:rPr>
        <w:t>济宁市属高校毕业生就业见习基地、济宁市</w:t>
      </w:r>
      <w:r>
        <w:rPr>
          <w:rFonts w:hint="eastAsia" w:ascii="仿宋" w:hAnsi="仿宋" w:eastAsia="仿宋"/>
          <w:bCs/>
          <w:sz w:val="24"/>
          <w:szCs w:val="24"/>
        </w:rPr>
        <w:t>AAAA劳动关系和谐企业</w:t>
      </w:r>
      <w:r>
        <w:rPr>
          <w:rFonts w:hint="eastAsia" w:ascii="仿宋" w:hAnsi="仿宋" w:eastAsia="仿宋"/>
          <w:sz w:val="24"/>
          <w:szCs w:val="24"/>
        </w:rPr>
        <w:t>、济宁市外派劳务培训机构、济宁市海外领事保护培训基地、山东省产教融合示范单位、济</w:t>
      </w:r>
      <w:r>
        <w:rPr>
          <w:rFonts w:hint="eastAsia" w:ascii="仿宋" w:hAnsi="仿宋" w:eastAsia="仿宋" w:cs="宋体"/>
          <w:bCs/>
          <w:sz w:val="24"/>
          <w:szCs w:val="24"/>
        </w:rPr>
        <w:t>宁市高技能人才自主评价企业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hint="eastAsia" w:ascii="仿宋" w:hAnsi="仿宋" w:eastAsia="仿宋"/>
          <w:b/>
          <w:sz w:val="24"/>
          <w:szCs w:val="24"/>
        </w:rPr>
        <w:t>“坚持以奋斗者为本，持续提升员工幸福感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 w:cs="宋体"/>
          <w:bCs/>
          <w:sz w:val="24"/>
          <w:szCs w:val="24"/>
        </w:rPr>
        <w:t>，以经营的思想和方法，培养、使用、开发各类人才，为人才的成长提供良好的环境。欢迎有理想、有抱负的行业精英人才加盟，与我们并肩作战，携手奋斗，共同成长，共创企业与个人无限广阔的美好明天。</w:t>
      </w:r>
    </w:p>
    <w:p>
      <w:pPr>
        <w:spacing w:line="360" w:lineRule="auto"/>
        <w:ind w:firstLine="361" w:firstLineChars="15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为公司战略发展需要，诚聘如下专业人员：</w:t>
      </w:r>
    </w:p>
    <w:tbl>
      <w:tblPr>
        <w:tblStyle w:val="5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67"/>
        <w:gridCol w:w="4380"/>
        <w:gridCol w:w="1331"/>
        <w:gridCol w:w="918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68" w:type="dxa"/>
            <w:noWrap/>
            <w:vAlign w:val="center"/>
          </w:tcPr>
          <w:p>
            <w:pPr>
              <w:ind w:left="-105" w:leftChars="-50" w:right="-122" w:rightChars="-58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序号</w:t>
            </w:r>
          </w:p>
        </w:tc>
        <w:tc>
          <w:tcPr>
            <w:tcW w:w="1467" w:type="dxa"/>
            <w:noWrap/>
            <w:vAlign w:val="center"/>
          </w:tcPr>
          <w:p>
            <w:pPr>
              <w:ind w:left="-92" w:leftChars="-44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招聘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岗位</w:t>
            </w:r>
          </w:p>
        </w:tc>
        <w:tc>
          <w:tcPr>
            <w:tcW w:w="4380" w:type="dxa"/>
            <w:noWrap/>
            <w:vAlign w:val="center"/>
          </w:tcPr>
          <w:p>
            <w:pPr>
              <w:ind w:left="-91" w:leftChars="-44" w:hanging="1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需求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专业</w:t>
            </w:r>
          </w:p>
        </w:tc>
        <w:tc>
          <w:tcPr>
            <w:tcW w:w="1331" w:type="dxa"/>
            <w:noWrap/>
            <w:vAlign w:val="center"/>
          </w:tcPr>
          <w:p>
            <w:pPr>
              <w:ind w:left="-92" w:leftChars="-44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学历</w:t>
            </w:r>
          </w:p>
        </w:tc>
        <w:tc>
          <w:tcPr>
            <w:tcW w:w="918" w:type="dxa"/>
            <w:noWrap/>
            <w:vAlign w:val="center"/>
          </w:tcPr>
          <w:p>
            <w:pPr>
              <w:ind w:left="-92" w:leftChars="-44" w:right="-122" w:rightChars="-58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招聘人数</w:t>
            </w:r>
          </w:p>
        </w:tc>
        <w:tc>
          <w:tcPr>
            <w:tcW w:w="1119" w:type="dxa"/>
            <w:noWrap/>
            <w:vAlign w:val="center"/>
          </w:tcPr>
          <w:p>
            <w:pPr>
              <w:ind w:left="-92" w:leftChars="-44"/>
              <w:jc w:val="center"/>
              <w:rPr>
                <w:rStyle w:val="10"/>
                <w:rFonts w:hint="default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岗位说明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68" w:type="dxa"/>
            <w:noWrap/>
            <w:vAlign w:val="center"/>
          </w:tcPr>
          <w:p>
            <w:pPr>
              <w:ind w:left="-63" w:leftChars="-30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  <w:t>1</w:t>
            </w:r>
          </w:p>
        </w:tc>
        <w:tc>
          <w:tcPr>
            <w:tcW w:w="1467" w:type="dxa"/>
            <w:noWrap/>
            <w:vAlign w:val="center"/>
          </w:tcPr>
          <w:p>
            <w:pPr>
              <w:ind w:left="-63" w:leftChars="-30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电力建设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电气调试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岗</w:t>
            </w:r>
            <w:bookmarkEnd w:id="0"/>
          </w:p>
        </w:tc>
        <w:tc>
          <w:tcPr>
            <w:tcW w:w="4380" w:type="dxa"/>
            <w:noWrap/>
            <w:vAlign w:val="center"/>
          </w:tcPr>
          <w:p>
            <w:pPr>
              <w:ind w:left="-65" w:leftChars="-31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发电厂及电力系统、</w:t>
            </w:r>
            <w:r>
              <w:rPr>
                <w:rStyle w:val="10"/>
                <w:rFonts w:hint="eastAsia" w:ascii="仿宋" w:hAnsi="仿宋" w:eastAsia="仿宋" w:cstheme="minorBidi"/>
                <w:b w:val="0"/>
                <w:bCs/>
                <w:color w:val="auto"/>
                <w:szCs w:val="21"/>
                <w:lang w:val="en-US" w:eastAsia="zh-CN"/>
              </w:rPr>
              <w:t>供用电技术、电力系统继电保护技术、输配电工程技术、分布式发电与技术、电气自动化等</w:t>
            </w:r>
          </w:p>
        </w:tc>
        <w:tc>
          <w:tcPr>
            <w:tcW w:w="1331" w:type="dxa"/>
            <w:noWrap/>
            <w:vAlign w:val="center"/>
          </w:tcPr>
          <w:p>
            <w:pPr>
              <w:ind w:left="-65" w:leftChars="-31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专科及以上</w:t>
            </w:r>
          </w:p>
        </w:tc>
        <w:tc>
          <w:tcPr>
            <w:tcW w:w="918" w:type="dxa"/>
            <w:noWrap/>
            <w:vAlign w:val="center"/>
          </w:tcPr>
          <w:p>
            <w:pPr>
              <w:ind w:left="-65" w:leftChars="-31"/>
              <w:jc w:val="center"/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19" w:type="dxa"/>
            <w:vMerge w:val="restart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公司主营业务为电力、化工、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新能源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等工程的建设，需要广大应聘者能适应驻国内外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项目部工作。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68" w:type="dxa"/>
            <w:noWrap/>
            <w:vAlign w:val="center"/>
          </w:tcPr>
          <w:p>
            <w:pPr>
              <w:ind w:left="-63" w:leftChars="-30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bookmarkStart w:id="1" w:name="OLE_LINK2" w:colFirst="1" w:colLast="4"/>
            <w:r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1467" w:type="dxa"/>
            <w:noWrap/>
            <w:vAlign w:val="center"/>
          </w:tcPr>
          <w:p>
            <w:pPr>
              <w:ind w:left="-63" w:leftChars="-30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电力建设仪表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调试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岗</w:t>
            </w:r>
          </w:p>
        </w:tc>
        <w:tc>
          <w:tcPr>
            <w:tcW w:w="4380" w:type="dxa"/>
            <w:noWrap/>
            <w:vAlign w:val="center"/>
          </w:tcPr>
          <w:p>
            <w:pPr>
              <w:ind w:left="-65" w:leftChars="-31"/>
              <w:jc w:val="center"/>
              <w:rPr>
                <w:rStyle w:val="10"/>
                <w:rFonts w:ascii="仿宋" w:hAnsi="仿宋" w:eastAsia="仿宋"/>
                <w:b w:val="0"/>
                <w:bCs/>
                <w:color w:val="auto"/>
                <w:szCs w:val="21"/>
              </w:rPr>
            </w:pPr>
            <w:bookmarkStart w:id="2" w:name="OLE_LINK4"/>
            <w:r>
              <w:rPr>
                <w:rStyle w:val="10"/>
                <w:rFonts w:hint="eastAsia" w:ascii="仿宋" w:hAnsi="仿宋" w:eastAsia="仿宋" w:cstheme="minorBidi"/>
                <w:b w:val="0"/>
                <w:bCs/>
                <w:color w:val="auto"/>
                <w:szCs w:val="21"/>
                <w:lang w:val="en-US" w:eastAsia="zh-CN"/>
              </w:rPr>
              <w:t>发电厂及电力系统、</w:t>
            </w:r>
            <w:bookmarkEnd w:id="2"/>
            <w:r>
              <w:rPr>
                <w:rStyle w:val="10"/>
                <w:rFonts w:hint="eastAsia" w:ascii="仿宋" w:hAnsi="仿宋" w:eastAsia="仿宋" w:cstheme="minorBidi"/>
                <w:b w:val="0"/>
                <w:bCs/>
                <w:color w:val="auto"/>
                <w:szCs w:val="21"/>
                <w:lang w:val="en-US" w:eastAsia="zh-CN"/>
              </w:rPr>
              <w:t>电力系统自动化技术、节电技术与管理、信息安全技术应用等</w:t>
            </w:r>
          </w:p>
        </w:tc>
        <w:tc>
          <w:tcPr>
            <w:tcW w:w="1331" w:type="dxa"/>
            <w:noWrap/>
            <w:vAlign w:val="center"/>
          </w:tcPr>
          <w:p>
            <w:pPr>
              <w:ind w:left="-65" w:leftChars="-3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专科及以上</w:t>
            </w:r>
          </w:p>
        </w:tc>
        <w:tc>
          <w:tcPr>
            <w:tcW w:w="918" w:type="dxa"/>
            <w:noWrap/>
            <w:vAlign w:val="center"/>
          </w:tcPr>
          <w:p>
            <w:pPr>
              <w:ind w:left="-65" w:leftChars="-31"/>
              <w:jc w:val="center"/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19" w:type="dxa"/>
            <w:vMerge w:val="continue"/>
            <w:tcBorders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68" w:type="dxa"/>
            <w:noWrap/>
            <w:vAlign w:val="center"/>
          </w:tcPr>
          <w:p>
            <w:pPr>
              <w:ind w:left="-63" w:leftChars="-30"/>
              <w:jc w:val="center"/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467" w:type="dxa"/>
            <w:noWrap/>
            <w:vAlign w:val="center"/>
          </w:tcPr>
          <w:p>
            <w:pPr>
              <w:ind w:left="-63" w:leftChars="-3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电力建设锅炉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调试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岗</w:t>
            </w:r>
          </w:p>
        </w:tc>
        <w:tc>
          <w:tcPr>
            <w:tcW w:w="4380" w:type="dxa"/>
            <w:noWrap/>
            <w:vAlign w:val="center"/>
          </w:tcPr>
          <w:p>
            <w:pPr>
              <w:ind w:left="-65" w:leftChars="-31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发电厂及电力系统、发电运行技术、机电一体</w:t>
            </w:r>
            <w:bookmarkStart w:id="3" w:name="_GoBack"/>
            <w:bookmarkEnd w:id="3"/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化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等</w:t>
            </w:r>
          </w:p>
        </w:tc>
        <w:tc>
          <w:tcPr>
            <w:tcW w:w="1331" w:type="dxa"/>
            <w:noWrap/>
            <w:vAlign w:val="center"/>
          </w:tcPr>
          <w:p>
            <w:pPr>
              <w:ind w:left="-65" w:leftChars="-3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专科及以上</w:t>
            </w:r>
          </w:p>
        </w:tc>
        <w:tc>
          <w:tcPr>
            <w:tcW w:w="918" w:type="dxa"/>
            <w:noWrap/>
            <w:vAlign w:val="center"/>
          </w:tcPr>
          <w:p>
            <w:pPr>
              <w:ind w:left="-65" w:leftChars="-31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119" w:type="dxa"/>
            <w:vMerge w:val="continue"/>
            <w:tcBorders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before="156" w:beforeLines="50" w:line="360" w:lineRule="exact"/>
        <w:jc w:val="left"/>
        <w:rPr>
          <w:rStyle w:val="10"/>
          <w:rFonts w:ascii="仿宋" w:hAnsi="仿宋" w:eastAsia="仿宋"/>
          <w:bCs/>
          <w:color w:val="auto"/>
          <w:sz w:val="24"/>
          <w:szCs w:val="24"/>
        </w:rPr>
      </w:pPr>
      <w:r>
        <w:rPr>
          <w:rStyle w:val="10"/>
          <w:rFonts w:hint="eastAsia" w:ascii="仿宋" w:hAnsi="仿宋" w:eastAsia="仿宋"/>
          <w:bCs/>
          <w:color w:val="auto"/>
          <w:sz w:val="24"/>
          <w:szCs w:val="24"/>
        </w:rPr>
        <w:t>薪酬福利：</w:t>
      </w:r>
    </w:p>
    <w:p>
      <w:pPr>
        <w:spacing w:line="36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Style w:val="10"/>
          <w:rFonts w:hint="eastAsia" w:ascii="仿宋" w:hAnsi="仿宋" w:eastAsia="仿宋"/>
          <w:b w:val="0"/>
          <w:bCs/>
          <w:color w:val="auto"/>
          <w:sz w:val="24"/>
          <w:szCs w:val="24"/>
        </w:rPr>
        <w:t>迪尔集团倡导和提供具有外部竞争力和内部公平性的薪酬体系，工资待遇随员工工作经验和技能提升不断增加，高工资、高福利培养企业优秀骨干和核心员工。试用</w:t>
      </w:r>
      <w:r>
        <w:rPr>
          <w:rFonts w:hint="eastAsia" w:ascii="仿宋" w:hAnsi="仿宋" w:eastAsia="仿宋" w:cs="宋体"/>
          <w:kern w:val="0"/>
          <w:sz w:val="24"/>
          <w:szCs w:val="24"/>
        </w:rPr>
        <w:t>期工资待遇为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40</w:t>
      </w:r>
      <w:r>
        <w:rPr>
          <w:rFonts w:ascii="仿宋" w:hAnsi="仿宋" w:eastAsia="仿宋" w:cs="宋体"/>
          <w:bCs/>
          <w:kern w:val="0"/>
          <w:sz w:val="24"/>
          <w:szCs w:val="24"/>
        </w:rPr>
        <w:t>00-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6000</w:t>
      </w:r>
      <w:r>
        <w:rPr>
          <w:rFonts w:hint="eastAsia" w:ascii="仿宋" w:hAnsi="仿宋" w:eastAsia="仿宋" w:cs="宋体"/>
          <w:kern w:val="0"/>
          <w:sz w:val="24"/>
          <w:szCs w:val="24"/>
        </w:rPr>
        <w:t>元/月，转正后工资待遇为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5</w:t>
      </w:r>
      <w:r>
        <w:rPr>
          <w:rFonts w:ascii="仿宋" w:hAnsi="仿宋" w:eastAsia="仿宋" w:cs="宋体"/>
          <w:bCs/>
          <w:kern w:val="0"/>
          <w:sz w:val="24"/>
          <w:szCs w:val="24"/>
        </w:rPr>
        <w:t>000-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10000</w:t>
      </w:r>
      <w:r>
        <w:rPr>
          <w:rFonts w:hint="eastAsia" w:ascii="仿宋" w:hAnsi="仿宋" w:eastAsia="仿宋" w:cs="宋体"/>
          <w:kern w:val="0"/>
          <w:sz w:val="24"/>
          <w:szCs w:val="24"/>
        </w:rPr>
        <w:t>元/月，视工程远近、工作环境、工作业绩等情况工资待遇有所差异，具体工资数额可面议。</w:t>
      </w:r>
    </w:p>
    <w:p>
      <w:pPr>
        <w:spacing w:line="360" w:lineRule="exact"/>
        <w:ind w:firstLine="480" w:firstLineChars="200"/>
        <w:jc w:val="left"/>
        <w:rPr>
          <w:rStyle w:val="10"/>
          <w:rFonts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公司提供七险一金(养老保险+医疗保险+失业保险+生育保险+工伤保险+大病医疗保险+意外伤害保险+住房公积金)</w:t>
      </w:r>
      <w:r>
        <w:rPr>
          <w:rFonts w:hint="eastAsia" w:ascii="仿宋" w:hAnsi="仿宋" w:eastAsia="仿宋" w:cs="宋体"/>
          <w:sz w:val="24"/>
          <w:szCs w:val="24"/>
        </w:rPr>
        <w:t xml:space="preserve"> 、</w:t>
      </w:r>
      <w:r>
        <w:rPr>
          <w:rFonts w:hint="eastAsia" w:ascii="仿宋" w:hAnsi="仿宋" w:eastAsia="仿宋" w:cs="宋体"/>
          <w:kern w:val="0"/>
          <w:sz w:val="24"/>
          <w:szCs w:val="24"/>
        </w:rPr>
        <w:t>各类福利补贴(话费补贴+电脑补贴+外地施工津贴+施工环境补贴+出差补贴+证件补贴+生日礼物+结婚礼物+传统节日礼物+定期体检)</w:t>
      </w:r>
      <w:r>
        <w:rPr>
          <w:rFonts w:hint="eastAsia" w:ascii="仿宋" w:hAnsi="仿宋" w:eastAsia="仿宋" w:cs="宋体"/>
          <w:sz w:val="24"/>
          <w:szCs w:val="24"/>
        </w:rPr>
        <w:t xml:space="preserve"> 、</w:t>
      </w:r>
      <w:r>
        <w:rPr>
          <w:rFonts w:hint="eastAsia" w:ascii="仿宋" w:hAnsi="仿宋" w:eastAsia="仿宋" w:cs="宋体"/>
          <w:kern w:val="0"/>
          <w:sz w:val="24"/>
          <w:szCs w:val="24"/>
        </w:rPr>
        <w:t>各类奖金(安全奖+年终奖+经营奖+结算奖+模拟股份分红)</w:t>
      </w:r>
      <w:r>
        <w:rPr>
          <w:rFonts w:hint="eastAsia" w:ascii="仿宋" w:hAnsi="仿宋" w:eastAsia="仿宋" w:cs="宋体"/>
          <w:sz w:val="24"/>
          <w:szCs w:val="24"/>
        </w:rPr>
        <w:t xml:space="preserve"> 、</w:t>
      </w:r>
      <w:r>
        <w:rPr>
          <w:rFonts w:hint="eastAsia" w:ascii="仿宋" w:hAnsi="仿宋" w:eastAsia="仿宋" w:cs="宋体"/>
          <w:kern w:val="0"/>
          <w:sz w:val="24"/>
          <w:szCs w:val="24"/>
        </w:rPr>
        <w:t>法定带薪年休假和企业带薪休假(每季度一次)。</w:t>
      </w:r>
    </w:p>
    <w:p>
      <w:pPr>
        <w:spacing w:before="156" w:beforeLines="50" w:line="360" w:lineRule="exact"/>
        <w:jc w:val="left"/>
        <w:rPr>
          <w:rStyle w:val="10"/>
          <w:rFonts w:ascii="仿宋" w:hAnsi="仿宋" w:eastAsia="仿宋"/>
          <w:bCs/>
          <w:sz w:val="24"/>
          <w:szCs w:val="24"/>
        </w:rPr>
      </w:pPr>
      <w:r>
        <w:rPr>
          <w:rStyle w:val="10"/>
          <w:rFonts w:hint="eastAsia" w:ascii="仿宋" w:hAnsi="仿宋" w:eastAsia="仿宋"/>
          <w:bCs/>
          <w:color w:val="auto"/>
          <w:sz w:val="24"/>
          <w:szCs w:val="24"/>
        </w:rPr>
        <w:t>职业发展：</w:t>
      </w:r>
    </w:p>
    <w:p>
      <w:pPr>
        <w:spacing w:line="36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迪尔集团通过选人、育人、用人、留人等优化人才机制，为员工搭建完善的职业发展平台，提供良好的培训、公平公正的晋升发展机会，使员工的职业生涯更大限度地与集团保持一致，共同发展。</w:t>
      </w:r>
    </w:p>
    <w:p>
      <w:pPr>
        <w:spacing w:line="36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迪尔期待您的加入！</w:t>
      </w:r>
    </w:p>
    <w:p>
      <w:pPr>
        <w:spacing w:before="156" w:beforeLines="50" w:line="360" w:lineRule="exact"/>
        <w:rPr>
          <w:rFonts w:ascii="仿宋" w:hAnsi="仿宋" w:eastAsia="仿宋"/>
          <w:b/>
          <w:sz w:val="24"/>
          <w:szCs w:val="24"/>
        </w:rPr>
      </w:pPr>
      <w:r>
        <w:rPr>
          <w:rStyle w:val="10"/>
          <w:rFonts w:hint="eastAsia" w:ascii="仿宋" w:hAnsi="仿宋" w:eastAsia="仿宋"/>
          <w:bCs/>
          <w:color w:val="auto"/>
          <w:sz w:val="24"/>
          <w:szCs w:val="24"/>
        </w:rPr>
        <w:t>联系电话：</w:t>
      </w:r>
      <w:r>
        <w:rPr>
          <w:rFonts w:ascii="仿宋" w:hAnsi="仿宋" w:eastAsia="仿宋"/>
          <w:b/>
          <w:sz w:val="24"/>
          <w:szCs w:val="24"/>
        </w:rPr>
        <w:t>0537—</w:t>
      </w:r>
      <w:r>
        <w:rPr>
          <w:rFonts w:ascii="仿宋" w:hAnsi="仿宋" w:eastAsia="仿宋" w:cs="宋体"/>
          <w:b/>
          <w:kern w:val="0"/>
          <w:sz w:val="24"/>
          <w:szCs w:val="24"/>
        </w:rPr>
        <w:t>23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16941</w:t>
      </w:r>
      <w:r>
        <w:rPr>
          <w:rFonts w:hint="eastAsia" w:ascii="仿宋" w:hAnsi="仿宋" w:eastAsia="仿宋"/>
          <w:b/>
          <w:sz w:val="24"/>
          <w:szCs w:val="24"/>
        </w:rPr>
        <w:t>门老师</w:t>
      </w:r>
    </w:p>
    <w:p>
      <w:pPr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160020</wp:posOffset>
            </wp:positionV>
            <wp:extent cx="1288415" cy="1251585"/>
            <wp:effectExtent l="0" t="0" r="6985" b="5715"/>
            <wp:wrapNone/>
            <wp:docPr id="1" name="图片 1" descr="大众人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众人才二维码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158115</wp:posOffset>
            </wp:positionV>
            <wp:extent cx="1367155" cy="1240155"/>
            <wp:effectExtent l="0" t="0" r="0" b="0"/>
            <wp:wrapSquare wrapText="bothSides"/>
            <wp:docPr id="3" name="图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4"/>
          <w:szCs w:val="24"/>
        </w:rPr>
        <w:t>邮    箱：444233662@qq.com</w:t>
      </w:r>
    </w:p>
    <w:p>
      <w:pPr>
        <w:tabs>
          <w:tab w:val="left" w:pos="1276"/>
        </w:tabs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投递简历：</w:t>
      </w:r>
    </w:p>
    <w:p>
      <w:pPr>
        <w:tabs>
          <w:tab w:val="left" w:pos="1276"/>
        </w:tabs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公司网址：</w:t>
      </w:r>
      <w:r>
        <w:rPr>
          <w:rFonts w:hint="eastAsia" w:ascii="仿宋" w:hAnsi="仿宋" w:eastAsia="仿宋"/>
          <w:b/>
          <w:sz w:val="16"/>
          <w:szCs w:val="24"/>
        </w:rPr>
        <w:t xml:space="preserve"> </w:t>
      </w:r>
      <w:r>
        <w:rPr>
          <w:rFonts w:ascii="仿宋" w:hAnsi="仿宋" w:eastAsia="仿宋"/>
          <w:b/>
          <w:sz w:val="24"/>
          <w:szCs w:val="24"/>
          <w:u w:val="single"/>
        </w:rPr>
        <w:t>http://</w:t>
      </w:r>
      <w:r>
        <w:fldChar w:fldCharType="begin"/>
      </w:r>
      <w:r>
        <w:instrText xml:space="preserve"> HYPERLINK "http://www.draz.com.cn" </w:instrText>
      </w:r>
      <w:r>
        <w:fldChar w:fldCharType="separate"/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t>www.draz.com.cn</w:t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fldChar w:fldCharType="end"/>
      </w:r>
    </w:p>
    <w:p>
      <w:pPr>
        <w:tabs>
          <w:tab w:val="left" w:pos="1276"/>
        </w:tabs>
        <w:spacing w:line="360" w:lineRule="exac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智联招聘网</w:t>
      </w:r>
      <w:r>
        <w:rPr>
          <w:rFonts w:ascii="仿宋" w:hAnsi="仿宋" w:eastAsia="仿宋"/>
          <w:b/>
          <w:sz w:val="24"/>
          <w:szCs w:val="24"/>
          <w:u w:val="single"/>
        </w:rPr>
        <w:t>http://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"http://www.zhaopin.com" </w:instrText>
      </w:r>
      <w:r>
        <w:rPr>
          <w:color w:val="auto"/>
        </w:rPr>
        <w:fldChar w:fldCharType="separate"/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t>www.zhaopin.com</w:t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fldChar w:fldCharType="end"/>
      </w:r>
    </w:p>
    <w:p>
      <w:pPr>
        <w:tabs>
          <w:tab w:val="left" w:pos="993"/>
        </w:tabs>
        <w:spacing w:line="360" w:lineRule="exact"/>
        <w:rPr>
          <w:rStyle w:val="7"/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齐鲁人才网</w:t>
      </w:r>
      <w:r>
        <w:fldChar w:fldCharType="begin"/>
      </w:r>
      <w:r>
        <w:instrText xml:space="preserve"> HYPERLINK "http://www.qlrc.com" </w:instrText>
      </w:r>
      <w:r>
        <w:fldChar w:fldCharType="separate"/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t>http://www.qlrc.com</w:t>
      </w:r>
      <w:r>
        <w:rPr>
          <w:rStyle w:val="7"/>
          <w:rFonts w:ascii="仿宋" w:hAnsi="仿宋" w:eastAsia="仿宋"/>
          <w:b/>
          <w:color w:val="auto"/>
          <w:sz w:val="24"/>
          <w:szCs w:val="24"/>
        </w:rPr>
        <w:fldChar w:fldCharType="end"/>
      </w:r>
    </w:p>
    <w:p>
      <w:pPr>
        <w:tabs>
          <w:tab w:val="left" w:pos="993"/>
          <w:tab w:val="left" w:pos="1276"/>
        </w:tabs>
        <w:spacing w:line="360" w:lineRule="exac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大众人才网http://www.dazhonghr.com</w:t>
      </w:r>
    </w:p>
    <w:p>
      <w:pPr>
        <w:spacing w:line="360" w:lineRule="exact"/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公司地址：山东省济宁市高新区凌云路</w:t>
      </w:r>
      <w:r>
        <w:rPr>
          <w:rFonts w:ascii="仿宋" w:hAnsi="仿宋" w:eastAsia="仿宋" w:cs="宋体"/>
          <w:b/>
          <w:kern w:val="0"/>
          <w:sz w:val="24"/>
          <w:szCs w:val="24"/>
        </w:rPr>
        <w:t>66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号</w:t>
      </w:r>
    </w:p>
    <w:sectPr>
      <w:pgSz w:w="11906" w:h="16838"/>
      <w:pgMar w:top="130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M4ZDY0YmFmYmViNTI2MDdkNmFhNTY4NTE4MGIifQ=="/>
  </w:docVars>
  <w:rsids>
    <w:rsidRoot w:val="00B52319"/>
    <w:rsid w:val="001A3DA6"/>
    <w:rsid w:val="002A4212"/>
    <w:rsid w:val="0033254A"/>
    <w:rsid w:val="003F02E1"/>
    <w:rsid w:val="0045021F"/>
    <w:rsid w:val="005C6534"/>
    <w:rsid w:val="0085635A"/>
    <w:rsid w:val="00965EBD"/>
    <w:rsid w:val="009A177A"/>
    <w:rsid w:val="009A32BF"/>
    <w:rsid w:val="009D7012"/>
    <w:rsid w:val="00B52319"/>
    <w:rsid w:val="00C61BBF"/>
    <w:rsid w:val="00C725EF"/>
    <w:rsid w:val="00D8102B"/>
    <w:rsid w:val="00E143CD"/>
    <w:rsid w:val="00F96531"/>
    <w:rsid w:val="03945D8F"/>
    <w:rsid w:val="20124EEC"/>
    <w:rsid w:val="238D29EA"/>
    <w:rsid w:val="24B6014F"/>
    <w:rsid w:val="32D33999"/>
    <w:rsid w:val="34995BE3"/>
    <w:rsid w:val="396E4344"/>
    <w:rsid w:val="4D81684F"/>
    <w:rsid w:val="54D57098"/>
    <w:rsid w:val="609027B3"/>
    <w:rsid w:val="7B125994"/>
    <w:rsid w:val="7FD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style11"/>
    <w:autoRedefine/>
    <w:qFormat/>
    <w:uiPriority w:val="0"/>
    <w:rPr>
      <w:b/>
      <w:color w:val="CE3670"/>
      <w:sz w:val="21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1592</Words>
  <Characters>1738</Characters>
  <Lines>15</Lines>
  <Paragraphs>4</Paragraphs>
  <TotalTime>17</TotalTime>
  <ScaleCrop>false</ScaleCrop>
  <LinksUpToDate>false</LinksUpToDate>
  <CharactersWithSpaces>1748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2022-01-15T00:19:00Z</dcterms:created>
  <dc:creator>门涛</dc:creator>
  <cp:lastModifiedBy>jerry</cp:lastModifiedBy>
  <cp:lastPrinted>2025-04-25T07:12:00Z</cp:lastPrinted>
  <dcterms:modified xsi:type="dcterms:W3CDTF">2025-04-28T01:09:16Z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79475C55A1CE40E88491A32E4B0C4D25_13</vt:lpwstr>
  </property>
  <property fmtid="{D5CDD505-2E9C-101B-9397-08002B2CF9AE}" pid="4" name="KSOTemplateDocerSaveRecord">
    <vt:lpwstr>eyJoZGlkIjoiNWUyMjNjMzZkZjQyZGZmMDdjZTljNGRmOGU5MzRmODYiLCJ1c2VySWQiOiI0NDkxODkxNjUifQ==</vt:lpwstr>
  </property>
</Properties>
</file>