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ascii="宋体" w:hAnsi="宋体" w:eastAsia="宋体" w:cs="宋体"/>
          <w:sz w:val="24"/>
          <w:szCs w:val="24"/>
        </w:rPr>
      </w:pPr>
      <w:r>
        <w:rPr>
          <w:rFonts w:ascii="宋体" w:hAnsi="宋体" w:eastAsia="宋体" w:cs="宋体"/>
          <w:sz w:val="24"/>
          <w:szCs w:val="24"/>
        </w:rPr>
        <w:drawing>
          <wp:inline distT="0" distB="0" distL="114300" distR="114300">
            <wp:extent cx="304800" cy="3048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5272405" cy="7856220"/>
            <wp:effectExtent l="0" t="0" r="4445"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2405" cy="785622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bookmarkStart w:id="0" w:name="Pic"/>
      <w:bookmarkEnd w:id="0"/>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75" w:afterAutospacing="0" w:line="42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货币文化史：Ⅲ：Ⅲ：文艺复兴时期盛行与信任危机</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作者：(美)比尔·莫勒(Bill Maurer)主编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出版社：文汇出版社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9787549638000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cstheme="minorEastAsia"/>
          <w:b w:val="0"/>
          <w:i w:val="0"/>
          <w:caps w:val="0"/>
          <w:color w:val="auto"/>
          <w:spacing w:val="0"/>
          <w:kern w:val="0"/>
          <w:sz w:val="24"/>
          <w:szCs w:val="24"/>
          <w:shd w:val="clear" w:fill="FFFFFF"/>
          <w:lang w:val="en-US" w:eastAsia="zh-CN" w:bidi="ar"/>
        </w:rPr>
        <w:t>296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88.00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装帧：精装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银行系统和纸币的诞生是文艺复兴时期的重要标志，意味着货币制度和当地信用制度的建立。与此同时，货币形式塑造了货币价值、经济、政治、意义。货币在系统的使用更是确立了货币信用和个人与机构声誉。本书以图文并茂的形式向读者呈现了文艺复兴时期科技理念、礼制、文化的发展，以及货币在这些方面带来的影响与其相互作用。</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概 述 </w:t>
      </w: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走近文艺复兴时期的货币</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w:t>
      </w:r>
      <w:r>
        <w:rPr>
          <w:rFonts w:hint="eastAsia" w:asciiTheme="minorEastAsia" w:hAnsiTheme="minorEastAsia" w:cstheme="minorEastAsia"/>
          <w:b w:val="0"/>
          <w:i w:val="0"/>
          <w:caps w:val="0"/>
          <w:color w:val="auto"/>
          <w:spacing w:val="0"/>
          <w:kern w:val="0"/>
          <w:sz w:val="24"/>
          <w:szCs w:val="24"/>
          <w:shd w:val="clear" w:fill="FFFFFF"/>
          <w:lang w:val="en-US" w:eastAsia="zh-CN" w:bidi="ar"/>
        </w:rPr>
        <w:t>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章 货币及其技术：矿业、冶金、铸造及非金属货币形式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w:t>
      </w:r>
      <w:r>
        <w:rPr>
          <w:rFonts w:hint="eastAsia" w:asciiTheme="minorEastAsia" w:hAnsiTheme="minorEastAsia" w:cstheme="minorEastAsia"/>
          <w:b w:val="0"/>
          <w:i w:val="0"/>
          <w:caps w:val="0"/>
          <w:color w:val="auto"/>
          <w:spacing w:val="0"/>
          <w:kern w:val="0"/>
          <w:sz w:val="24"/>
          <w:szCs w:val="24"/>
          <w:shd w:val="clear" w:fill="FFFFFF"/>
          <w:lang w:val="en-US" w:eastAsia="zh-CN" w:bidi="ar"/>
        </w:rPr>
        <w:t>二</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章</w:t>
      </w:r>
      <w:r>
        <w:rPr>
          <w:rFonts w:hint="eastAsia" w:asciiTheme="minorEastAsia" w:hAnsiTheme="minorEastAsia" w:cstheme="minorEastAsia"/>
          <w:b w:val="0"/>
          <w:i w:val="0"/>
          <w:caps w:val="0"/>
          <w:color w:val="auto"/>
          <w:spacing w:val="0"/>
          <w:kern w:val="0"/>
          <w:sz w:val="24"/>
          <w:szCs w:val="24"/>
          <w:shd w:val="clear" w:fill="FFFFFF"/>
          <w:lang w:val="en-US" w:eastAsia="zh-CN" w:bidi="ar"/>
        </w:rPr>
        <w:t xml:space="preserve"> 货</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币及其理念：正义、主权及货币作为商品的理念</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第三章 货币、仪式与：的印记及高利贷问题</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第四章 货币与日常生活：名誉、历史及对非洲东海岸的象征意义</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第五章 货币、艺术与表现形式：文本、图像及信息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第六章 货币及其阐释：近代早期的两宗交易</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第七章 货币与时代：铸币、主权及想象的流动性</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rPr>
          <w:rFonts w:hint="eastAsia" w:asciiTheme="minorEastAsia" w:hAnsiTheme="minorEastAsia" w:cstheme="minorEastAsia"/>
          <w:b w:val="0"/>
          <w:i w:val="0"/>
          <w:caps w:val="0"/>
          <w:color w:val="auto"/>
          <w:spacing w:val="0"/>
          <w:kern w:val="0"/>
          <w:sz w:val="24"/>
          <w:szCs w:val="24"/>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7796530"/>
            <wp:effectExtent l="0" t="0" r="4445"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72405" cy="779653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高等教育热点问题研究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韦家朝，杨伟</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中国水利水电出版社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2022-05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ISBN：9787522606798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355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88</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80" w:firstLineChars="20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本书对高等教育实践与理论热点问题进行研究，选取中外高校案例进行深入调研，阐述了高等教育热点问题以及高等教育改革与发展目标、历程、实践方案、发展经验与启示等。本书资料丰富，剖析深刻，论证有力，研究视角独特，可读性强，在高等教育等学术研究领域有较高的参考价值。全书内容翔实、逻辑层次清晰，对“双一流”大学建设与高等教育专业的学习、研究具有一定的指导和借鉴意义，能为广大高等教育理论工作者、高校管理人员和教育行政机构管理者提供理论参考和实践依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pingfangSC" w:hAnsi="pingfangSC" w:eastAsia="宋体" w:cs="pingfangSC"/>
          <w:i w:val="0"/>
          <w:caps w:val="0"/>
          <w:color w:val="666666"/>
          <w:spacing w:val="0"/>
          <w:sz w:val="24"/>
          <w:szCs w:val="24"/>
          <w:shd w:val="clear" w:fill="FFFFFF"/>
          <w:lang w:eastAsia="zh-CN"/>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  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前言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第一章 悉尼大学的教学和学习中心</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第二章 我国大学教学发展中心</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第三章 宾夕法尼亚大学的通识教育课程</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第六章 美国高校的就业教育</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第七章 中山大学文化素质教育课程</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第八章 香港特区高校创新型人才培养模式</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r>
        <w:drawing>
          <wp:inline distT="0" distB="0" distL="114300" distR="114300">
            <wp:extent cx="5272405" cy="7938770"/>
            <wp:effectExtent l="0" t="0" r="4445"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72405" cy="793877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ascii="宋体" w:hAnsi="宋体" w:eastAsia="宋体" w:cs="宋体"/>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default" w:asciiTheme="minorHAnsi" w:hAnsiTheme="minorHAnsi" w:eastAsiaTheme="minorEastAsia" w:cstheme="minorBidi"/>
          <w:b w:val="0"/>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书名：中国电力行业市场化改革与可持续发展研究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秦萍 著</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四川大学出版社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2023-01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9787569055573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284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88</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内容简介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480" w:firstLineChars="20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本书回顾结了中国电力行业一系列市场化改革举措以及面临的问题、挑战，对电力市场建设以及相关政策发行了全面、系统的梳理，一步通过实证和案例研究，评估了这些市场改革措施与政策对中国电力行业的影响。</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w:t>
      </w:r>
      <w:r>
        <w:rPr>
          <w:rFonts w:hint="eastAsia" w:asciiTheme="minorEastAsia" w:hAnsiTheme="minorEastAsia" w:cstheme="minorEastAsia"/>
          <w:b/>
          <w:bCs/>
          <w:i w:val="0"/>
          <w:caps w:val="0"/>
          <w:color w:val="auto"/>
          <w:spacing w:val="0"/>
          <w:kern w:val="0"/>
          <w:sz w:val="32"/>
          <w:szCs w:val="32"/>
          <w:shd w:val="clear" w:fill="FFFFFF"/>
          <w:lang w:val="en-US" w:eastAsia="zh-CN" w:bidi="ar"/>
        </w:rPr>
        <w:t xml:space="preserve">  </w:t>
      </w: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录</w:t>
      </w:r>
    </w:p>
    <w:p>
      <w:pPr>
        <w:ind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第一篇 中国电力行业发展</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第二篇 市场建设及其影响评估</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第三篇 中国火电行业：效率评价</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7534275"/>
            <wp:effectExtent l="0" t="0" r="4445"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72405" cy="75342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基本信息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学以致用：高水平应用型大学建设探索与实践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"https://book.jd.com/writer/%E8%BF%AE%E9%92%A7%E6%9D%83%E8%91%97_1.html"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迮钧权</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著</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 </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"https://book.jd.com/publish/%E7%A0%94%E7%A9%B6%E5%87%BA%E7%89%88%E7%A4%BE_1.html" \o "研究出版社"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研究出版社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2023-02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9787519913045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336</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70.00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16</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firstLine="480" w:firstLineChars="200"/>
        <w:rPr>
          <w:rFonts w:hint="eastAsia" w:asciiTheme="minorHAnsi" w:hAnsiTheme="minorHAnsi" w:eastAsiaTheme="minorEastAsia" w:cstheme="minorBidi"/>
          <w:b w:val="0"/>
          <w:kern w:val="0"/>
          <w:sz w:val="24"/>
          <w:szCs w:val="24"/>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本书收录“十三五”以来原校长李学伟和校党委书记楚国清关于高水平应用型大学建设的思想论述和在人才培养、思想政治工作、学科与科技创新、服务北京、立德树人方面的理论及实践探索。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firstLine="480" w:firstLineChars="200"/>
        <w:textAlignment w:val="top"/>
        <w:rPr>
          <w:rFonts w:hint="default" w:asciiTheme="minorHAnsi" w:hAnsiTheme="minorHAnsi" w:eastAsiaTheme="minorEastAsia" w:cstheme="minorBidi"/>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HAnsi" w:hAnsiTheme="minorHAnsi" w:eastAsiaTheme="minorEastAsia" w:cstheme="minorBidi"/>
          <w:b w:val="0"/>
          <w:kern w:val="0"/>
          <w:sz w:val="24"/>
          <w:szCs w:val="24"/>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前言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第一部分 高水平应用型大学的必然选择</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因改革开放而生 以服务北京为责 北京联合大学建校40周年 继续坚定特色办学路</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第二部分 办学定位与目的</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关于建设高水平应用型大学的战略思考</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第三部分 应用型人才培养</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引导激励发展 提升核心能力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left"/>
        <w:rPr>
          <w:rFonts w:hint="eastAsia" w:asciiTheme="minorHAnsi" w:hAnsiTheme="minorHAnsi" w:eastAsiaTheme="minorEastAsia" w:cstheme="minorBidi"/>
          <w:b w:val="0"/>
          <w:kern w:val="0"/>
          <w:sz w:val="24"/>
          <w:szCs w:val="24"/>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firstLine="480" w:firstLineChars="200"/>
        <w:textAlignment w:val="top"/>
        <w:rPr>
          <w:rFonts w:hint="eastAsia" w:asciiTheme="minorHAnsi" w:hAnsiTheme="minorHAnsi" w:eastAsiaTheme="minorEastAsia" w:cstheme="minorBidi"/>
          <w:b w:val="0"/>
          <w:kern w:val="0"/>
          <w:sz w:val="24"/>
          <w:szCs w:val="24"/>
          <w:lang w:val="en-US" w:eastAsia="zh-CN" w:bidi="ar"/>
        </w:rPr>
      </w:pPr>
    </w:p>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ind w:right="0" w:rightChars="0"/>
        <w:textAlignment w:val="top"/>
        <w:outlineLvl w:val="9"/>
        <w:rPr>
          <w:rFonts w:hint="eastAsia" w:ascii="宋体" w:hAnsi="宋体" w:eastAsia="宋体" w:cs="宋体"/>
          <w:sz w:val="24"/>
          <w:szCs w:val="24"/>
          <w:lang w:val="en-US"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8010525"/>
            <wp:effectExtent l="0" t="0" r="444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72405" cy="80105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EastAsia" w:hAnsiTheme="minorEastAsia" w:cstheme="minorEastAsia"/>
          <w:b w:val="0"/>
          <w:i w:val="0"/>
          <w:caps w:val="0"/>
          <w:color w:val="0000FF"/>
          <w:spacing w:val="0"/>
          <w:kern w:val="0"/>
          <w:sz w:val="24"/>
          <w:szCs w:val="24"/>
          <w:shd w:val="clear" w:fill="FFFFFF"/>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书名：输出式阅读法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 xml:space="preserve">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(日)尾藤克之|责编:俞滟荣|译者:郭勇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 </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begin"/>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instrText xml:space="preserve"> HYPERLINK "https://book.jd.com/publish/%E4%B8%AD%E5%9B%BD%E5%95%86%E4%B8%9A%E5%87%BA%E7%89%88%E7%A4%BE_1.html" \o "中国商业出版社" \t "https://item.jd.com/_blank" </w:instrTex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separate"/>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台海</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出版日期：</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2023-09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ISBN：9787516831960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页码：</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190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定价：</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49.00</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装帧：</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平</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开本：</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32</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both"/>
        <w:rPr>
          <w:rFonts w:hint="eastAsia" w:asciiTheme="minorHAnsi" w:hAnsiTheme="minorHAnsi" w:eastAsiaTheme="minorEastAsia" w:cstheme="minorBidi"/>
          <w:b w:val="0"/>
          <w:kern w:val="0"/>
          <w:sz w:val="24"/>
          <w:szCs w:val="24"/>
          <w:lang w:val="en-US" w:eastAsia="zh-CN" w:bidi="ar"/>
        </w:rPr>
      </w:pPr>
      <w:r>
        <w:rPr>
          <w:rFonts w:hint="eastAsia" w:asciiTheme="minorHAnsi" w:hAnsiTheme="minorHAnsi" w:eastAsiaTheme="minorEastAsia" w:cstheme="minorBidi"/>
          <w:b w:val="0"/>
          <w:kern w:val="0"/>
          <w:sz w:val="24"/>
          <w:szCs w:val="24"/>
          <w:lang w:val="en-US" w:eastAsia="zh-CN" w:bidi="ar"/>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80" w:firstLineChars="20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日本知识管理大师，在 书中为读者展示了阅读高手区别于普通人的25个阅 读技巧，帮读者构建一套系统的阅读体系，让读者 也能按照自己的喜好和需求，打造属于自己的精神 图书馆，让阅读真正成为帮助读者全面进步的阶梯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目录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default" w:asciiTheme="minorHAnsi" w:hAnsiTheme="minorHAnsi" w:eastAsiaTheme="minorEastAsia" w:cstheme="minorBidi"/>
          <w:b w:val="0"/>
          <w:kern w:val="0"/>
          <w:sz w:val="24"/>
          <w:szCs w:val="24"/>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章　聪明人读书与普通人读书</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第二章　怎样阅读一本书才 合适</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第三章　聪明人有一套过目不忘的记忆机制</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第四章　聪明人获取、加工信息的方法</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第五章　聪明人读书，不仅仅是读完而已</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后记　高效的阅读让你的人生丰富多彩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drawing>
          <wp:inline distT="0" distB="0" distL="114300" distR="114300">
            <wp:extent cx="5272405" cy="8379460"/>
            <wp:effectExtent l="0" t="0" r="4445" b="254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5272405" cy="837946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jc w:val="left"/>
        <w:rPr>
          <w:rFonts w:hint="eastAsia" w:asciiTheme="minorEastAsia" w:hAnsi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cstheme="minorEastAsia"/>
          <w:b/>
          <w:bCs/>
          <w:i w:val="0"/>
          <w:caps w:val="0"/>
          <w:color w:val="auto"/>
          <w:spacing w:val="0"/>
          <w:kern w:val="0"/>
          <w:sz w:val="32"/>
          <w:szCs w:val="32"/>
          <w:shd w:val="clear" w:fill="FFFFFF"/>
          <w:lang w:val="en-US" w:eastAsia="zh-CN" w:bidi="ar"/>
        </w:rPr>
        <w:t>基本信息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书名：</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美国政</w:t>
      </w: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党</w:t>
      </w:r>
      <w:bookmarkStart w:id="1" w:name="_GoBack"/>
      <w:bookmarkEnd w:id="1"/>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与选择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作者:</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桑迪·梅塞尔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出版社:</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译林出版社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出版时间:2023-08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定价:59.50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ISBN:</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9787544793100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页码：376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开本:16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装订:平装</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Theme="minorEastAsia" w:hAnsiTheme="minorEastAsia" w:eastAsiaTheme="minorEastAsia" w:cstheme="minorEastAsia"/>
          <w:b w:val="0"/>
          <w:bCs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45" w:lineRule="atLeast"/>
        <w:ind w:left="0" w:right="0" w:firstLine="0"/>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内容介绍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right="0" w:firstLine="480" w:firstLineChars="200"/>
        <w:jc w:val="both"/>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eastAsia" w:asciiTheme="minorHAnsi" w:hAnsiTheme="minorHAnsi" w:eastAsiaTheme="minorEastAsia" w:cstheme="minorBidi"/>
          <w:b w:val="0"/>
          <w:kern w:val="0"/>
          <w:sz w:val="24"/>
          <w:szCs w:val="24"/>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美国选举的参选率比绝大多数成熟的民主国家都要低得多。原因或许在于，虽然许多美国人既不支持民主也不支持，甚至对两都没有好感，在美国却只有这两个政有机会获胜，因而缺乏竞争。又或者是因为，在美国的竞选活动中，就大多数立法机构选举来说，现任议员获得的捐款都明显过高。本书带领读者去探究此类问题，以局内人的视角展示了这个制度的实际运作方式，也揭示了其中的不足之处。读罢此书，读者将能清晰看出美国选举中的深层问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pPr>
      <w:r>
        <w:rPr>
          <w:rFonts w:hint="eastAsia" w:asciiTheme="minorEastAsia" w:hAnsiTheme="minorEastAsia" w:eastAsiaTheme="minorEastAsia" w:cstheme="minorEastAsia"/>
          <w:b/>
          <w:bCs/>
          <w:i w:val="0"/>
          <w:caps w:val="0"/>
          <w:color w:val="auto"/>
          <w:spacing w:val="0"/>
          <w:kern w:val="0"/>
          <w:sz w:val="32"/>
          <w:szCs w:val="32"/>
          <w:shd w:val="clear" w:fill="FFFFFF"/>
          <w:lang w:val="en-US" w:eastAsia="zh-CN" w:bidi="ar"/>
        </w:rPr>
        <w:t>目录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前言</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致谢</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t>第一</w:t>
      </w: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章 美国选举与政的背景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第二章 美国政简史</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第三章 政组织的形能</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第四章 人、民主人及其他派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第五章统选举的提名与</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第六章 其他重要职位的提名与选举</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pPr>
      <w:r>
        <w:rPr>
          <w:rFonts w:hint="default" w:asciiTheme="minorEastAsia" w:hAnsiTheme="minorEastAsia" w:eastAsiaTheme="minorEastAsia" w:cstheme="minorEastAsia"/>
          <w:b w:val="0"/>
          <w:i w:val="0"/>
          <w:caps w:val="0"/>
          <w:color w:val="auto"/>
          <w:spacing w:val="0"/>
          <w:kern w:val="0"/>
          <w:sz w:val="24"/>
          <w:szCs w:val="24"/>
          <w:shd w:val="clear" w:fill="FFFFFF"/>
          <w:lang w:val="en-US" w:eastAsia="zh-CN" w:bidi="ar"/>
        </w:rPr>
        <w:t>第七章 不的民主</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80" w:firstLineChars="200"/>
        <w:rPr>
          <w:rFonts w:hint="default" w:asciiTheme="minorHAnsi" w:hAnsiTheme="minorHAnsi" w:eastAsiaTheme="minorEastAsia" w:cstheme="minorBidi"/>
          <w:b w:val="0"/>
          <w:kern w:val="0"/>
          <w:sz w:val="24"/>
          <w:szCs w:val="24"/>
          <w:lang w:val="en-US" w:eastAsia="zh-CN" w:bidi="ar"/>
        </w:rPr>
      </w:pPr>
      <w:r>
        <w:rPr>
          <w:rFonts w:hint="eastAsia" w:asciiTheme="minorEastAsia" w:hAnsiTheme="minorEastAsia" w:eastAsiaTheme="minorEastAsia" w:cstheme="minorEastAsia"/>
          <w:b w:val="0"/>
          <w:i w:val="0"/>
          <w:caps w:val="0"/>
          <w:color w:val="auto"/>
          <w:spacing w:val="0"/>
          <w:kern w:val="0"/>
          <w:sz w:val="24"/>
          <w:szCs w:val="24"/>
          <w:shd w:val="clear" w:fill="FFFFFF"/>
          <w:lang w:val="en-US" w:eastAsia="zh-CN" w:bidi="ar"/>
        </w:rPr>
        <w:br w:type="textWrapp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0" w:lineRule="atLeast"/>
        <w:ind w:left="0" w:right="0" w:firstLine="0"/>
        <w:jc w:val="left"/>
        <w:rPr>
          <w:rFonts w:hint="eastAsia" w:asciiTheme="minorHAnsi" w:hAnsiTheme="minorHAnsi" w:eastAsiaTheme="minorEastAsia" w:cstheme="minorBidi"/>
          <w:b w:val="0"/>
          <w:kern w:val="0"/>
          <w:sz w:val="24"/>
          <w:szCs w:val="24"/>
          <w:lang w:val="en-US" w:eastAsia="zh-CN" w:bidi="ar"/>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ingfangS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E1369D"/>
    <w:rsid w:val="026B52A8"/>
    <w:rsid w:val="0404395C"/>
    <w:rsid w:val="04F226DF"/>
    <w:rsid w:val="05FE3655"/>
    <w:rsid w:val="073E4821"/>
    <w:rsid w:val="07E95068"/>
    <w:rsid w:val="08C7736C"/>
    <w:rsid w:val="09080709"/>
    <w:rsid w:val="0FBF0FEB"/>
    <w:rsid w:val="12BF44A8"/>
    <w:rsid w:val="148E744A"/>
    <w:rsid w:val="172D283A"/>
    <w:rsid w:val="186E53E6"/>
    <w:rsid w:val="1A745F99"/>
    <w:rsid w:val="1BCE4CF0"/>
    <w:rsid w:val="1C150605"/>
    <w:rsid w:val="1CB302CB"/>
    <w:rsid w:val="24A70C5B"/>
    <w:rsid w:val="26D836ED"/>
    <w:rsid w:val="272B7EDF"/>
    <w:rsid w:val="29872D19"/>
    <w:rsid w:val="29D04FE7"/>
    <w:rsid w:val="2A0738C1"/>
    <w:rsid w:val="2D8F4E20"/>
    <w:rsid w:val="2D9B67DD"/>
    <w:rsid w:val="2DAF120C"/>
    <w:rsid w:val="2EE17643"/>
    <w:rsid w:val="2F2E599C"/>
    <w:rsid w:val="32A66FC4"/>
    <w:rsid w:val="32CE0285"/>
    <w:rsid w:val="33AE69BF"/>
    <w:rsid w:val="34D57167"/>
    <w:rsid w:val="35547C67"/>
    <w:rsid w:val="36411DB4"/>
    <w:rsid w:val="3656250D"/>
    <w:rsid w:val="37CC2B67"/>
    <w:rsid w:val="38400821"/>
    <w:rsid w:val="3B6F335A"/>
    <w:rsid w:val="3D1B1311"/>
    <w:rsid w:val="3E904565"/>
    <w:rsid w:val="400728F0"/>
    <w:rsid w:val="411614CB"/>
    <w:rsid w:val="42737FED"/>
    <w:rsid w:val="43EE69C3"/>
    <w:rsid w:val="459E3C16"/>
    <w:rsid w:val="46911AB2"/>
    <w:rsid w:val="4A0E0EA9"/>
    <w:rsid w:val="4CCC114D"/>
    <w:rsid w:val="517C546B"/>
    <w:rsid w:val="51FA368D"/>
    <w:rsid w:val="522F2331"/>
    <w:rsid w:val="529334FC"/>
    <w:rsid w:val="548E77CE"/>
    <w:rsid w:val="55FA758A"/>
    <w:rsid w:val="58234285"/>
    <w:rsid w:val="59EA0AF1"/>
    <w:rsid w:val="5A1A0218"/>
    <w:rsid w:val="5B17729A"/>
    <w:rsid w:val="5C8241B5"/>
    <w:rsid w:val="5CE1369D"/>
    <w:rsid w:val="5DF81F4F"/>
    <w:rsid w:val="62054A19"/>
    <w:rsid w:val="63EE7854"/>
    <w:rsid w:val="65204904"/>
    <w:rsid w:val="65235452"/>
    <w:rsid w:val="652E1D4D"/>
    <w:rsid w:val="652F630F"/>
    <w:rsid w:val="65A86554"/>
    <w:rsid w:val="66317954"/>
    <w:rsid w:val="66455EEA"/>
    <w:rsid w:val="6706686C"/>
    <w:rsid w:val="68E05C5C"/>
    <w:rsid w:val="69921113"/>
    <w:rsid w:val="69CE30C7"/>
    <w:rsid w:val="6C0E4B07"/>
    <w:rsid w:val="6C1D7D6E"/>
    <w:rsid w:val="6EFA5482"/>
    <w:rsid w:val="6F957F4A"/>
    <w:rsid w:val="6F9C3969"/>
    <w:rsid w:val="70712660"/>
    <w:rsid w:val="720170D1"/>
    <w:rsid w:val="72DD7F15"/>
    <w:rsid w:val="74021C92"/>
    <w:rsid w:val="75B841FA"/>
    <w:rsid w:val="76CD09D0"/>
    <w:rsid w:val="799A08EB"/>
    <w:rsid w:val="7B4D48C8"/>
    <w:rsid w:val="7C077967"/>
    <w:rsid w:val="7DAB5FC4"/>
    <w:rsid w:val="7E5C72B9"/>
    <w:rsid w:val="7FDE0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qFormat/>
    <w:uiPriority w:val="0"/>
    <w:rPr>
      <w:color w:val="0000FF"/>
      <w:u w:val="single"/>
    </w:rPr>
  </w:style>
  <w:style w:type="paragraph" w:customStyle="1" w:styleId="10">
    <w:name w:val="_Style 8"/>
    <w:basedOn w:val="1"/>
    <w:next w:val="1"/>
    <w:qFormat/>
    <w:uiPriority w:val="0"/>
    <w:pPr>
      <w:pBdr>
        <w:bottom w:val="single" w:color="auto" w:sz="6" w:space="1"/>
      </w:pBdr>
      <w:jc w:val="center"/>
    </w:pPr>
    <w:rPr>
      <w:rFonts w:ascii="Arial" w:eastAsia="宋体"/>
      <w:vanish/>
      <w:sz w:val="16"/>
    </w:rPr>
  </w:style>
  <w:style w:type="paragraph" w:customStyle="1" w:styleId="11">
    <w:name w:val="_Style 9"/>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NULL"/><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Office_10.8.2.6613_F1E327BC-269C-435d-A152-05C5408002CA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2022-01-17T03:37:00Z</dcterms:created>
  <dc:creator>admin</dc:creator>
  <cp:lastModifiedBy>admin</cp:lastModifiedBy>
  <dcterms:modified xsi:type="dcterms:W3CDTF">2024-04-03T01:58:42Z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2052-10.8.2.6613</vt:lpwstr>
  </property>
</Properties>
</file>