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eastAsia="黑体" w:cs="黑体"/>
          <w:color w:val="007A77"/>
          <w:sz w:val="39"/>
          <w:szCs w:val="39"/>
        </w:rPr>
      </w:pPr>
      <w:r>
        <w:rPr>
          <w:rFonts w:hint="eastAsia" w:ascii="黑体" w:hAnsi="宋体" w:eastAsia="黑体" w:cs="黑体"/>
          <w:color w:val="007A77"/>
          <w:kern w:val="0"/>
          <w:sz w:val="39"/>
          <w:szCs w:val="39"/>
          <w:lang w:val="en-US" w:eastAsia="zh-CN" w:bidi="ar"/>
        </w:rPr>
        <w:t>图书馆开展学区间图书调拨工作</w:t>
      </w:r>
    </w:p>
    <w:p/>
    <w:p/>
    <w:p/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为加快各学区图书资源的交流与共享，充实泰安、泰山两学区图书馆藏书，加大对教职员工和学员学生的图书服务力度，图书馆开展学区间图书调拨工作。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本次调拨图书的重点是选择获得矛盾文学奖、诺贝尔文学奖等中外经典的文学名著、名家名作，共计100种200册</w:t>
      </w: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color w:val="666666"/>
          <w:sz w:val="21"/>
          <w:szCs w:val="21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图书馆高度重视本次调拨活动，安排专人负责，精心确定书目，选取品相较佳的图书下架、登记、打包，确保此项工作有序开展。精益化图书管理，在图书管理系统中修改每一本的馆藏地点、学区标识，认真汇总调拨书目数据及时转运需调拨的图书，整个流程做到资产清晰、数据准确、严密细致、安全有序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今后，图书馆将更加注重对读者需求开展经常性调研，及时收集有关信息，综合规划三学区图书资源建设，积极配合学院“书香国网 悦读行动”，进一步促进学院的教学科研培训工作，丰富广大师生文化生活。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1"/>
          <w:szCs w:val="21"/>
          <w:lang w:val="en-US" w:eastAsia="zh-CN" w:bidi="ar"/>
        </w:rPr>
        <w:t>山东电力高等专科学校图书馆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1"/>
          <w:szCs w:val="21"/>
          <w:lang w:val="en-US" w:eastAsia="zh-CN" w:bidi="ar"/>
        </w:rPr>
        <w:t>2022年6月9日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E0423"/>
    <w:rsid w:val="0E091C34"/>
    <w:rsid w:val="2FCE0423"/>
    <w:rsid w:val="517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757575"/>
      <w:u w:val="none"/>
    </w:rPr>
  </w:style>
  <w:style w:type="character" w:styleId="4">
    <w:name w:val="Hyperlink"/>
    <w:basedOn w:val="2"/>
    <w:qFormat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2022-06-09T07:35:00Z</dcterms:created>
  <dc:creator>Administrator</dc:creator>
  <cp:lastModifiedBy>admin</cp:lastModifiedBy>
  <dcterms:modified xsi:type="dcterms:W3CDTF">2022-06-09T07:40:02Z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