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Verdana" w:hAnsi="Verdana" w:cs="Verdana"/>
          <w:i w:val="0"/>
          <w:caps w:val="0"/>
          <w:color w:val="323232"/>
          <w:spacing w:val="0"/>
          <w:sz w:val="27"/>
          <w:szCs w:val="27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</w:rPr>
        <w:t>孤独是生命的清欢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45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4"/>
          <w:szCs w:val="24"/>
          <w:shd w:val="clear" w:fill="FFFFFF"/>
        </w:rPr>
        <w:t>余光中、张晓风、余华等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黄山书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Verdana" w:hAnsi="Verdana" w:eastAsia="Verdana" w:cs="Verdana"/>
          <w:i w:val="0"/>
          <w:caps w:val="0"/>
          <w:color w:val="323232"/>
          <w:spacing w:val="0"/>
          <w:sz w:val="18"/>
          <w:szCs w:val="18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ascii="Verdana" w:hAnsi="Verdana" w:eastAsia="Verdana" w:cs="Verdana"/>
          <w:i w:val="0"/>
          <w:caps w:val="0"/>
          <w:color w:val="323232"/>
          <w:spacing w:val="0"/>
          <w:sz w:val="18"/>
          <w:szCs w:val="18"/>
          <w:shd w:val="clear" w:fill="FFFFFF"/>
        </w:rPr>
        <w:t>9787546183053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本书收录了余光中、张晓风、余华、林青霞、王蒙、王安忆、苏童、迟子建、聂华苓等众多知名作家的散文作品。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作家们通过各自的经历和感悟，诉说着对孤独的独特感受。生活中，孤独是常伴身侧的密友；记忆里，孤独是从衣袖中溜过的清风；在清晨，孤独是睁开眼睛看到的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束光；在深夜，孤独是黑暗给予的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深情的拥抱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……孤独是每个人与生俱来的依存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孤独是灵魂的摆渡，是昏暗时刻抽离出的光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只有历经孤独，才足以活出人生的清欢。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 回忆是一种淡淡的痛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 我所理解的生活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 行走的人生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 孤独中的一盏灯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 听一朵花开的时光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 人间有味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/>
    <w:p/>
    <w:p/>
    <w:p/>
    <w:p/>
    <w:p/>
    <w:p/>
    <w:p/>
    <w:p/>
    <w:p/>
    <w:p>
      <w:r>
        <w:drawing>
          <wp:inline distT="0" distB="0" distL="114300" distR="114300">
            <wp:extent cx="4371340" cy="5695315"/>
            <wp:effectExtent l="0" t="0" r="10160" b="63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69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</w:rPr>
        <w:t>英法争霸的序幕 : 西班牙王位继承战争：1701— 1714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99.80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詹姆斯·福克纳（James Falkner）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江苏凤凰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19-12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ISBN：9787559441751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书逻辑清晰、笔触犀利，介绍和评价了参战各方的帝王、将相及其在决策中的心路过程，外交上的折冲樽俎，以及交战过程中的精明或愚蠢，英勇或怯懦，着力刻画了路易十四、威廉三世、安妮女王、马尔伯勒公爵、欧根亲王、维拉尔元帅等重要人物，以及交战国的民风、文化、地理和民族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导言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西班牙王位继承世系图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大事记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第一章 这就是西班牙国王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第二章 大联盟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第三章 法国的攻势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第四章 低地国家的战事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第五章 德意志南部的冒险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第六章 贝里克公爵参战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第七章 奇迹之年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第八章 从海上到西班牙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第九章 不胜其烦的纷扰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第十章 举步维艰的法国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第十一章 无法实现的和平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641985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="Verdana" w:hAnsi="Verdana" w:eastAsia="宋体" w:cs="Verdana"/>
          <w:b/>
          <w:i w:val="0"/>
          <w:caps w:val="0"/>
          <w:color w:val="323232"/>
          <w:spacing w:val="0"/>
          <w:kern w:val="44"/>
          <w:sz w:val="27"/>
          <w:szCs w:val="27"/>
          <w:shd w:val="clear" w:fill="FFFFFF"/>
          <w:lang w:val="en-US" w:eastAsia="zh-CN" w:bidi="ar"/>
        </w:rPr>
        <w:t>2019年中国微型小说排行榜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定价:42.80元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 百花洲文艺出版社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出版时间:2020-01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ISBN:9787550033993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页码：307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2019年中国微型小说排行榜》从2019年全国公开发表的数万篇微型小说沙里淘金，精选而成。选取的作品代表了本年度微型小说的高水准，作品或讴歌生活中的真善美传播社会正能量，或针砭社会中的假丑恶；或充满哲理，或诙谐幽默，或夸张变形；既有文坛名家作品，又有专门从事微型小说创作的作家的作品。作品既有可读性，又耐读，融艺术性与可读性为一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001 张 港寻找王×成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004 陈 毓朱鹮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007 徐 东陌生人的欠条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011 蔡楠姨妈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......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304 祁和山真功夫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306 黄静远轮 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</w:rPr>
        <w:t>智能电网调度控制系统实</w:t>
      </w: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shd w:val="clear" w:fill="FFFFFF"/>
          <w:lang w:eastAsia="zh-CN"/>
        </w:rPr>
        <w:t>操技术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定价:85.00元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"http://www.openbookdata.com.cn/BookList/pr2_%e7%8e%8b%e9%a1%ba%e6%b1%9f,%e6%9d%8e%e5%a9%b7.html" \t "http://www.openbookdata.com.cn/Book/_blank"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王顺江,李婷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出版社: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中国电力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出版时间:2019-09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ISBN:9787519821920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页码：372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本书立足于智能电网控制系统最主流产品D5000系统，对系统的基本原理和基本功能做了简单介绍，对系统的各项操作做了详细阐述，其主要内容包括：智能用电体系、 用电信息采集、 营销业务管理、 用户用能服务及家庭能源系统、 分布式电源管理、 信息共享平台、 通信与安全保障体系。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第一章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操作系统 1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第2章 数据库 11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第3章 基础平台 27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第4章 稳态监控 126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书名：智能电网柔性调控技术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定价75.00元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 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"http://www.openbookdata.com.cn/BookList/pr2_%e5%88%98%e5%8d%8e%e4%bc%9f,%e8%a2%81%e6%99%93%e5%86%ac.html" \t "http://www.openbookdata.com.cn/Book/_blank"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刘华伟,袁晓冬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出版社: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中国电力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出版时间:2019-04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ISBN:9787519815844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页码：175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依托国家电网公司变电站智能设备检测技术、电能计量重点实验室，海上风电技术联合实验室和科技攻关团队，提炼总结智能电网柔性调控技术研究与实践成果。以态势感知、优化决策、协调控制、负荷恢复等事故处置过程为主线，从区域电网、配电网、用户侧阐述了智能电网柔性调控的关键技术及相关装备，阐述了支撑智能电网柔性调控的通信组网、大数据应用与平台、信息安全防护等信息通信技术，并对未来智能电网柔性调控技术和装备进行展望。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前言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 概述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 区域电网柔性协调控制技术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 配电网柔性协调控制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 用户侧柔性协调控制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 智能电网柔性调控信息通信关键技术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 展望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参考文献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4800" cy="5534025"/>
            <wp:effectExtent l="0" t="0" r="0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Verdana" w:hAnsi="Verdana" w:cs="Verdana"/>
          <w:i w:val="0"/>
          <w:caps w:val="0"/>
          <w:color w:val="323232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="Verdana" w:hAnsi="Verdana" w:eastAsia="宋体" w:cs="Verdana"/>
          <w:b/>
          <w:i w:val="0"/>
          <w:caps w:val="0"/>
          <w:color w:val="323232"/>
          <w:spacing w:val="0"/>
          <w:kern w:val="44"/>
          <w:sz w:val="27"/>
          <w:szCs w:val="27"/>
          <w:shd w:val="clear" w:fill="FFFFFF"/>
          <w:lang w:val="en-US" w:eastAsia="zh-CN" w:bidi="ar"/>
        </w:rPr>
        <w:t>千秋一叹:金圣叹传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定价:88.00元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  陈飞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出版社: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"http://search.dangdang.com/?key3=%CB%AE%C0%FB%CB%AE%B5%E7%B3%F6%B0%E6%C9%E7&amp;medium=01&amp;category_path=01.00.00.00.00.00"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出版时间:2019-08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ISBN:9787521201635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页码：583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装订:精装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写法非传统传记写法，而是以师生相随座谈的“小说笔法”来“谈论金圣叹”，没有拘泥于把金圣叹当作文学批评家来进行展现的一般写法，而是把金圣叹作为明末清初杰出的启蒙思想家来进行塑造，对其评点背后真实的人生追求进行了挖掘，使作品在精神高度和思想深度上别具一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序章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才子酒楼度元宵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师生重读金圣叹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老实人揭秘金家难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小女子解说玉带钩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眷属凋伤情重驴马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池塘春草感怀弟兄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姑苏城孤儿投亲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寒山寺少年受戒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平生志业托水浒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满怀心曲付儿郎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泐师示现阴阳界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美女魂归无叶堂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闻声感心泪洒今古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如梦似幻情寄西厢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春来亲友传喜讯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病起父子说唐诗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第八章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贪官做成血腥案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秀才魂断江宁城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第九章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流水亭中说生死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风雨过后思峨眉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A3CDD"/>
    <w:rsid w:val="04DC2287"/>
    <w:rsid w:val="1A1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2020-12-29T02:19:00Z</dcterms:created>
  <dc:creator>Administrator</dc:creator>
  <cp:lastModifiedBy>Administrator</cp:lastModifiedBy>
  <dcterms:modified xsi:type="dcterms:W3CDTF">2020-12-29T02:22:52Z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