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eastAsia" w:eastAsiaTheme="minorEastAsia"/>
          <w:lang w:eastAsia="zh-CN"/>
        </w:rPr>
      </w:pPr>
      <w:r>
        <w:rPr>
          <w:rFonts w:hint="eastAsia" w:eastAsiaTheme="minorEastAsia"/>
          <w:lang w:eastAsia="zh-CN"/>
        </w:rPr>
        <w:drawing>
          <wp:inline distT="0" distB="0" distL="114300" distR="114300">
            <wp:extent cx="4771390" cy="7667625"/>
            <wp:effectExtent l="0" t="0" r="10160" b="9525"/>
            <wp:docPr id="1" name="图片 1" descr="2Y_BOO7VW}D44V(G(MM03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Y_BOO7VW}D44V(G(MM03SM"/>
                    <pic:cNvPicPr>
                      <a:picLocks noChangeAspect="1"/>
                    </pic:cNvPicPr>
                  </pic:nvPicPr>
                  <pic:blipFill>
                    <a:blip r:embed="rId4"/>
                    <a:stretch>
                      <a:fillRect/>
                    </a:stretch>
                  </pic:blipFill>
                  <pic:spPr>
                    <a:xfrm>
                      <a:off x="0" y="0"/>
                      <a:ext cx="4771390" cy="766762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b/>
          <w:bCs/>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kern w:val="0"/>
          <w:sz w:val="32"/>
          <w:szCs w:val="32"/>
          <w:lang w:val="en-US" w:eastAsia="zh-CN" w:bidi="ar"/>
        </w:rPr>
      </w:pPr>
      <w:r>
        <w:rPr>
          <w:rFonts w:hint="default" w:asciiTheme="minorEastAsia" w:hAnsiTheme="minorEastAsia" w:eastAsiaTheme="minorEastAsia" w:cstheme="minorEastAsia"/>
          <w:b/>
          <w:bCs/>
          <w:kern w:val="0"/>
          <w:sz w:val="32"/>
          <w:szCs w:val="32"/>
          <w:lang w:val="en-US" w:eastAsia="zh-CN" w:bidi="ar"/>
        </w:rPr>
        <w:t>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书名:艺</w:t>
      </w:r>
      <w:r>
        <w:rPr>
          <w:rFonts w:hint="eastAsia" w:asciiTheme="minorEastAsia" w:hAnsiTheme="minorEastAsia" w:eastAsiaTheme="minorEastAsia" w:cstheme="minorEastAsia"/>
          <w:b w:val="0"/>
          <w:kern w:val="0"/>
          <w:sz w:val="24"/>
          <w:szCs w:val="24"/>
          <w:lang w:val="en-US" w:eastAsia="zh-CN" w:bidi="ar"/>
        </w:rPr>
        <w:t>术</w:t>
      </w:r>
      <w:r>
        <w:rPr>
          <w:rFonts w:hint="default" w:asciiTheme="minorEastAsia" w:hAnsiTheme="minorEastAsia" w:eastAsiaTheme="minorEastAsia" w:cstheme="minorEastAsia"/>
          <w:b w:val="0"/>
          <w:kern w:val="0"/>
          <w:sz w:val="24"/>
          <w:szCs w:val="24"/>
          <w:lang w:val="en-US" w:eastAsia="zh-CN" w:bidi="ar"/>
        </w:rPr>
        <w:t>哲学:艺</w:t>
      </w:r>
      <w:r>
        <w:rPr>
          <w:rFonts w:hint="eastAsia" w:asciiTheme="minorEastAsia" w:hAnsiTheme="minorEastAsia" w:eastAsiaTheme="minorEastAsia" w:cstheme="minorEastAsia"/>
          <w:b w:val="0"/>
          <w:kern w:val="0"/>
          <w:sz w:val="24"/>
          <w:szCs w:val="24"/>
          <w:lang w:val="en-US" w:eastAsia="zh-CN" w:bidi="ar"/>
        </w:rPr>
        <w:t>术</w:t>
      </w:r>
      <w:r>
        <w:rPr>
          <w:rFonts w:hint="default" w:asciiTheme="minorEastAsia" w:hAnsiTheme="minorEastAsia" w:eastAsiaTheme="minorEastAsia" w:cstheme="minorEastAsia"/>
          <w:b w:val="0"/>
          <w:kern w:val="0"/>
          <w:sz w:val="24"/>
          <w:szCs w:val="24"/>
          <w:lang w:val="en-US" w:eastAsia="zh-CN" w:bidi="ar"/>
        </w:rPr>
        <w:t>中的理想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定价：49.80元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作者:(法)丹纳 傅雷 张启彬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出版社：化学工业出版社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出版日期：2019-01-01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ISBN：9787122321527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页码：</w:t>
      </w:r>
      <w:r>
        <w:rPr>
          <w:rFonts w:hint="eastAsia" w:asciiTheme="minorEastAsia" w:hAnsiTheme="minorEastAsia" w:eastAsiaTheme="minorEastAsia" w:cstheme="minorEastAsia"/>
          <w:b w:val="0"/>
          <w:kern w:val="0"/>
          <w:sz w:val="24"/>
          <w:szCs w:val="24"/>
          <w:lang w:val="en-US" w:eastAsia="zh-CN" w:bidi="ar"/>
        </w:rPr>
        <w:t>144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装帧：线装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开本：16开</w:t>
      </w:r>
    </w:p>
    <w:p>
      <w:pPr>
        <w:keepNext w:val="0"/>
        <w:keepLines w:val="0"/>
        <w:widowControl/>
        <w:suppressLineNumbers w:val="0"/>
        <w:jc w:val="left"/>
        <w:rPr>
          <w:rFonts w:hint="eastAsia" w:asciiTheme="minorEastAsia" w:hAnsiTheme="minorEastAsia" w:eastAsiaTheme="minorEastAsia" w:cstheme="minorEastAsia"/>
          <w:b w:val="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kern w:val="0"/>
          <w:sz w:val="32"/>
          <w:szCs w:val="32"/>
          <w:lang w:val="en-US" w:eastAsia="zh-CN" w:bidi="ar"/>
        </w:rPr>
      </w:pPr>
      <w:r>
        <w:rPr>
          <w:rFonts w:hint="eastAsia" w:asciiTheme="minorEastAsia" w:hAnsiTheme="minorEastAsia" w:eastAsiaTheme="minorEastAsia" w:cstheme="minorEastAsia"/>
          <w:b/>
          <w:bCs/>
          <w:kern w:val="0"/>
          <w:sz w:val="32"/>
          <w:szCs w:val="32"/>
          <w:lang w:val="en-US" w:eastAsia="zh-CN" w:bidi="ar"/>
        </w:rPr>
        <w:t>内容简介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b w:val="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firstLineChars="200"/>
        <w:jc w:val="left"/>
        <w:rPr>
          <w:rFonts w:hint="eastAsia" w:asciiTheme="minorEastAsia" w:hAnsiTheme="minorEastAsia" w:eastAsiaTheme="minorEastAsia" w:cstheme="minorEastAsia"/>
          <w:b w:val="0"/>
          <w:kern w:val="0"/>
          <w:sz w:val="24"/>
          <w:szCs w:val="24"/>
          <w:lang w:val="en-US" w:eastAsia="zh-CN" w:bidi="ar"/>
        </w:rPr>
      </w:pPr>
      <w:r>
        <w:rPr>
          <w:rFonts w:hint="eastAsia" w:asciiTheme="minorEastAsia" w:hAnsiTheme="minorEastAsia" w:eastAsiaTheme="minorEastAsia" w:cstheme="minorEastAsia"/>
          <w:b w:val="0"/>
          <w:kern w:val="0"/>
          <w:sz w:val="24"/>
          <w:szCs w:val="24"/>
          <w:lang w:val="en-US" w:eastAsia="zh-CN" w:bidi="ar"/>
        </w:rPr>
        <w:t>本册为《艺术哲学》五编《艺术中的理想》,阐述衡量艺术作品价值的标准。《艺术哲学》是丹纳在巴黎美术学校讲课时讲稿的辑录，也是丹纳最重要的文艺理论著作，集中体现了他的文艺理论思想。他在书中提出决定文明的三大要素——种族、环境、时代，而这三大要素又决定了衡量艺术作品价值的标准，即艺术作品表现事物特征的重要程度、有益程度、效果集中程度，并由原则出发，阐述意大利、尼德兰和古希腊的艺术流派。</w:t>
      </w:r>
    </w:p>
    <w:p>
      <w:pPr>
        <w:keepNext w:val="0"/>
        <w:keepLines w:val="0"/>
        <w:widowControl/>
        <w:suppressLineNumbers w:val="0"/>
        <w:jc w:val="left"/>
        <w:rPr>
          <w:rFonts w:hint="eastAsia" w:asciiTheme="minorEastAsia" w:hAnsiTheme="minorEastAsia" w:eastAsiaTheme="minorEastAsia" w:cstheme="minorEastAsia"/>
          <w:b w:val="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Theme="minorEastAsia" w:hAnsiTheme="minorEastAsia" w:eastAsiaTheme="minorEastAsia" w:cstheme="minorEastAsia"/>
          <w:b w:val="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val="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kern w:val="0"/>
          <w:sz w:val="32"/>
          <w:szCs w:val="32"/>
          <w:lang w:val="en-US" w:eastAsia="zh-CN" w:bidi="ar"/>
        </w:rPr>
      </w:pPr>
      <w:r>
        <w:rPr>
          <w:rFonts w:hint="default" w:asciiTheme="minorEastAsia" w:hAnsiTheme="minorEastAsia" w:eastAsiaTheme="minorEastAsia" w:cstheme="minorEastAsia"/>
          <w:b/>
          <w:bCs/>
          <w:kern w:val="0"/>
          <w:sz w:val="32"/>
          <w:szCs w:val="32"/>
          <w:lang w:val="en-US" w:eastAsia="zh-CN" w:bidi="ar"/>
        </w:rPr>
        <w:t>目录</w:t>
      </w:r>
    </w:p>
    <w:p>
      <w:pPr>
        <w:keepNext w:val="0"/>
        <w:keepLines w:val="0"/>
        <w:widowControl/>
        <w:suppressLineNumbers w:val="0"/>
        <w:ind w:left="0" w:firstLine="0"/>
        <w:jc w:val="left"/>
        <w:rPr>
          <w:rFonts w:hint="eastAsia" w:asciiTheme="minorEastAsia" w:hAnsiTheme="minorEastAsia" w:cstheme="minorEastAsia"/>
          <w:b w:val="0"/>
          <w:kern w:val="0"/>
          <w:sz w:val="24"/>
          <w:szCs w:val="24"/>
          <w:lang w:val="en-US" w:eastAsia="zh-CN" w:bidi="ar"/>
        </w:rPr>
      </w:pPr>
    </w:p>
    <w:p>
      <w:pPr>
        <w:keepNext w:val="0"/>
        <w:keepLines w:val="0"/>
        <w:widowControl/>
        <w:suppressLineNumbers w:val="0"/>
        <w:ind w:left="0" w:firstLine="0"/>
        <w:jc w:val="left"/>
        <w:rPr>
          <w:rFonts w:hint="default" w:asciiTheme="minorEastAsia" w:hAnsiTheme="minorEastAsia" w:eastAsiaTheme="minorEastAsia" w:cstheme="minorEastAsia"/>
          <w:b w:val="0"/>
          <w:kern w:val="0"/>
          <w:sz w:val="24"/>
          <w:szCs w:val="24"/>
          <w:lang w:val="en-US" w:eastAsia="zh-CN" w:bidi="ar"/>
        </w:rPr>
      </w:pPr>
      <w:r>
        <w:rPr>
          <w:rFonts w:hint="eastAsia" w:asciiTheme="minorEastAsia" w:hAnsiTheme="minorEastAsia" w:cstheme="minorEastAsia"/>
          <w:b w:val="0"/>
          <w:kern w:val="0"/>
          <w:sz w:val="24"/>
          <w:szCs w:val="24"/>
          <w:lang w:val="en-US" w:eastAsia="zh-CN" w:bidi="ar"/>
        </w:rPr>
        <w:t>第一</w:t>
      </w:r>
      <w:r>
        <w:rPr>
          <w:rFonts w:hint="eastAsia" w:asciiTheme="minorEastAsia" w:hAnsiTheme="minorEastAsia" w:eastAsiaTheme="minorEastAsia" w:cstheme="minorEastAsia"/>
          <w:b w:val="0"/>
          <w:kern w:val="0"/>
          <w:sz w:val="24"/>
          <w:szCs w:val="24"/>
          <w:lang w:val="en-US" w:eastAsia="zh-CN" w:bidi="ar"/>
        </w:rPr>
        <w:t>章理想的种类与等级001</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第二章特征重要的程度017</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第三章特征有益的程度053</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第四章效果集中的程度083</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附录艺术家文学家译名原名对照表115</w:t>
      </w:r>
      <w:r>
        <w:rPr>
          <w:rFonts w:hint="default" w:asciiTheme="minorEastAsia" w:hAnsiTheme="minorEastAsia" w:eastAsiaTheme="minorEastAsia" w:cstheme="minorEastAsia"/>
          <w:b w:val="0"/>
          <w:kern w:val="0"/>
          <w:sz w:val="24"/>
          <w:szCs w:val="24"/>
          <w:lang w:val="en-US" w:eastAsia="zh-CN" w:bidi="ar"/>
        </w:rPr>
        <w:br w:type="textWrapping"/>
      </w:r>
    </w:p>
    <w:p>
      <w:pPr>
        <w:rPr>
          <w:rFonts w:hint="default"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Verdana" w:hAnsi="Verdana" w:eastAsia="Verdana" w:cs="Verdana"/>
          <w:b w:val="0"/>
          <w:i w:val="0"/>
          <w:caps w:val="0"/>
          <w:color w:val="656565"/>
          <w:spacing w:val="0"/>
          <w:kern w:val="0"/>
          <w:sz w:val="21"/>
          <w:szCs w:val="21"/>
          <w:shd w:val="clear" w:fill="FFFFFF"/>
          <w:lang w:val="en-US" w:eastAsia="zh-CN" w:bidi="ar"/>
        </w:rPr>
      </w:pPr>
      <w:r>
        <w:rPr>
          <w:rFonts w:hint="default" w:ascii="Verdana" w:hAnsi="Verdana" w:eastAsia="Verdana" w:cs="Verdana"/>
          <w:b w:val="0"/>
          <w:i w:val="0"/>
          <w:caps w:val="0"/>
          <w:color w:val="656565"/>
          <w:spacing w:val="0"/>
          <w:kern w:val="0"/>
          <w:sz w:val="21"/>
          <w:szCs w:val="21"/>
          <w:shd w:val="clear" w:fill="FFFFFF"/>
          <w:lang w:val="en-US" w:eastAsia="zh-CN" w:bidi="ar"/>
        </w:rPr>
        <w:drawing>
          <wp:inline distT="0" distB="0" distL="114300" distR="114300">
            <wp:extent cx="5260340" cy="6943725"/>
            <wp:effectExtent l="0" t="0" r="16510" b="9525"/>
            <wp:docPr id="2" name="图片 2" descr="QQW_E759_7DGN1$B]QQ7U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W_E759_7DGN1$B]QQ7UQ0"/>
                    <pic:cNvPicPr>
                      <a:picLocks noChangeAspect="1"/>
                    </pic:cNvPicPr>
                  </pic:nvPicPr>
                  <pic:blipFill>
                    <a:blip r:embed="rId5"/>
                    <a:stretch>
                      <a:fillRect/>
                    </a:stretch>
                  </pic:blipFill>
                  <pic:spPr>
                    <a:xfrm>
                      <a:off x="0" y="0"/>
                      <a:ext cx="5260340" cy="694372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Verdana" w:hAnsi="Verdana" w:eastAsia="Verdana" w:cs="Verdana"/>
          <w:b w:val="0"/>
          <w:i w:val="0"/>
          <w:caps w:val="0"/>
          <w:color w:val="656565"/>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Verdana" w:hAnsi="Verdana" w:eastAsia="Verdana" w:cs="Verdana"/>
          <w:b w:val="0"/>
          <w:i w:val="0"/>
          <w:caps w:val="0"/>
          <w:color w:val="656565"/>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Verdana" w:hAnsi="Verdana" w:eastAsia="Verdana" w:cs="Verdana"/>
          <w:b w:val="0"/>
          <w:i w:val="0"/>
          <w:caps w:val="0"/>
          <w:color w:val="656565"/>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Verdana" w:hAnsi="Verdana" w:eastAsia="Verdana" w:cs="Verdana"/>
          <w:b w:val="0"/>
          <w:i w:val="0"/>
          <w:caps w:val="0"/>
          <w:color w:val="656565"/>
          <w:spacing w:val="0"/>
          <w:kern w:val="0"/>
          <w:sz w:val="21"/>
          <w:szCs w:val="21"/>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书名:智能电网的通信与网络</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定价：79.00元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作者:肖杨</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出版社：机械工业出版社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出版日期：2018-03-01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ISBN：9787111588139</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开本：16开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页数：199</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《智能电网的通信与网络》涵盖了世界各地智能电网领域知名研究人员的工作成果，介绍了智能电网及其通信和网络的基本原理和应用情况。</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智能电网的通信与网络》分为两个部分，即通用智能电网以及智能电网的通信与网络。本书介绍了分布式电力供应和通信网络设计的佳方法，并介绍了支持电力移动的区域能源市场的关键ICT系统工程趋势。本书涉及通信、IT和安全性方面的相关主题，为读者提供参与未来智能电网通信和网络开发、设计和实施所需的知识。</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目 录</w:t>
      </w:r>
      <w:r>
        <w:rPr>
          <w:rFonts w:hint="default" w:asciiTheme="minorEastAsia" w:hAnsiTheme="minorEastAsia" w:eastAsiaTheme="minorEastAsia" w:cstheme="minorEastAsia"/>
          <w:kern w:val="0"/>
          <w:sz w:val="24"/>
          <w:szCs w:val="24"/>
          <w:shd w:val="clear" w:fill="FFFFFF"/>
          <w:lang w:val="en-US" w:eastAsia="zh-CN" w:bidi="ar"/>
        </w:rPr>
        <w:br w:type="textWrapping"/>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译者序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原书前言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致谢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关于主编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贡献者名单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第一部分 通用智能电网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第1章 智能电网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 概述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1.1.1 效率和可靠性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1.1.2 环境效益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1.1.3 用户利益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1.1.4 安全性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 技术方面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1.2.1 双向通信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1.2.2 控制和监测技术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1.2.3 高级部件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1.2.4 储能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 第一个智能电网/当前尝试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1.3.1 科罗拉多州波尔得市</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1.3.2 得克萨斯州奥斯汀市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1.3.3 加拿大安大略省</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1.3.4 意大利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 电网系统的未来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1.4.1 前景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1.4.2 网络安全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1.4.3 用户隐私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1.4.4 政治资助和支持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1.4.5 当前研究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1.5 小结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致谢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第2章 智能电网需求管理和电网稳定性分布式算法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 智能电网元件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2.1.1 分布式能源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2.1.2 分布式储能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2.1.2.1 可再生能源整合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2.1.2.2 辅助服务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2.1.2.3 车辆到电网的分布式存储示例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2.1.3 管理电力需求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 电力市场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2.2.1 市场代理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2.2.2 市场运作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2.3 需求响应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2.3.1 直接负载控制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2.3.2 定价政策</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 需求侧管理的网络拥塞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2.4.1 需求和电网负载管理网络模型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2.4.2 拥塞博弈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2.4.3 需求和电网负载管理博弈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2.4.4 数值示例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2.5 更复杂模型介绍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2.5.1 分布式发电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2.5.2 分布式存储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2.5.3 问题和评论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2.6 小结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致谢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第3章 对微电网中本地发电能力的有效管理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 智能微电网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 相关文献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 微电网模型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3.3.1 电气模型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3.3.2 经济模式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 智能微电网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3.4.1 重新设计目标优化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3.4.2 非凸性声明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3.5 次优解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3.5.1 最快下降算法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3.6 分布式实现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3.7 数值结果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3.8 小结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致谢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附录A 明确式（3.2）的参数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第4章 虚拟发电厂多视角服务管理的应用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 概述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 虚拟发电厂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 多视角服务管理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4.3.1 术语和定义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4.3.1.1 企业架构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4.3.1.2 业务、应用和基础设施服务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4.3.1.3 利益相关者、关注点、观点和角度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4.3.2 视角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4.3.3 多视角服务管理的元模型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4.3.4 多视角服务管理分析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 虚拟发电厂服务管理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4.4.1 虚拟发电厂中的利益相关者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4.4.2 虚拟发电厂管理信息模型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4.4.2.1 企业层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4.4.2.2 运营管理层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4.4.2.3 流程控制层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4.4.2.4 控制层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4.4.3 用例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4.4.3.1 场景用例1:创建一个提前行动计划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4.4.3.2 场景用例2:创建一个反应行动计划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4.5 小结和展望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第5章 插电式电动汽车配电网优化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 概述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 现有技术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5.2.1 研究方法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5.2.2 配电网模拟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 配电网优化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5.3.1 系统功能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5.3.2 系统架构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5.3.2.1 前端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5.3.2.2 后端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5.3.2.3 外部工具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5.3.3 系统优化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5.3.3.1 电力负载模型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5.3.3.2 模拟解释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5.3.3.3 方案选择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 结果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5.4.1 设施状况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5.4.1.1 不同网络下的设施状况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5.4.1.2 不同情况下的设施状况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5.4.2 负载增加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5.4.3 配电网健康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5.4.4 变压器状况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5.5 小结和未来工作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 第6章 基于本体的资源描述和低碳电网网络发现框架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6.1 概述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6.2 低碳网络和资源管理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6.3 虚拟化管理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6.4 ICT能源本体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6.5 建议的系统架构</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6.6 碳感知资源发现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6.7 实验结果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6.8 小结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致谢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第二部分 智能电网的通信与网络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第7章 分布式电源和通信网络设计的最佳方法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7.1 概述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7.2 ICT与气候变化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7.3 微电网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7.4 微电网背后的动机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7.5 数学模型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7.5.1 模型中使用的变量说明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7.5.2 模型公式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7.5.3 简单的样本问题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7.5.4 计算结果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7.6 结果分析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7.7 小结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致谢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第8章 智能电网测试平台:设计和验证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8.1 概述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8.2 背景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8.3 相关工作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8.4 智能电网测试平台设计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8.4.1 电网架构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8.4.2 信息网络架构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8.4.3 IPS设计 </w:t>
      </w:r>
    </w:p>
    <w:p/>
    <w:p/>
    <w:p/>
    <w:p/>
    <w:p>
      <w:bookmarkStart w:id="0" w:name="_GoBack"/>
      <w:bookmarkEnd w:id="0"/>
    </w:p>
    <w:p>
      <w:pPr>
        <w:rPr>
          <w:rFonts w:hint="eastAsia" w:eastAsiaTheme="minorEastAsia"/>
          <w:lang w:eastAsia="zh-CN"/>
        </w:rPr>
      </w:pPr>
      <w:r>
        <w:rPr>
          <w:rFonts w:hint="eastAsia" w:eastAsiaTheme="minorEastAsia"/>
          <w:lang w:eastAsia="zh-CN"/>
        </w:rPr>
        <w:drawing>
          <wp:inline distT="0" distB="0" distL="114300" distR="114300">
            <wp:extent cx="4623435" cy="6885940"/>
            <wp:effectExtent l="0" t="0" r="5715" b="10160"/>
            <wp:docPr id="3" name="图片 3" descr="~]{0G7~9NYQ_1@`L44ZU)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G7~9NYQ_1@`L44ZU)OD"/>
                    <pic:cNvPicPr>
                      <a:picLocks noChangeAspect="1"/>
                    </pic:cNvPicPr>
                  </pic:nvPicPr>
                  <pic:blipFill>
                    <a:blip r:embed="rId6"/>
                    <a:stretch>
                      <a:fillRect/>
                    </a:stretch>
                  </pic:blipFill>
                  <pic:spPr>
                    <a:xfrm>
                      <a:off x="0" y="0"/>
                      <a:ext cx="4623435" cy="688594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书</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名：智能电网电能计量及管理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作者：徐先勇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出版社：中国电力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ISBN号：9787519817404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出版时间：2018-03-01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开本：16开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包装：平装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页数：127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w:t>
      </w: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徐先勇主编的《智能电网电能计量及管理》分为 风光分布式能源高渗透率下电能计量、智能变电站混 合混杂电能计量、智能电能表故障预警及舆情应对机 制、电能计量箱质量评价体系及监督管控、电能计量 管理系统六部分内容。全书由浅入深地结合具体现场 操作步骤，并配以丰富的图表资料，让读者容易理解书中内容。</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前言</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 概述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 智能电网</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 分布式电源</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 智能用电技术</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 风光分布式能源高渗透率下电能计量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2.1 风光资源概况</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 风光分布式电源接入电网方式及计量配置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2.3 分布式电源特性</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2.4 分布式电源对计量的影响</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2.5 风光分布式电源计量装置的管理</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2.6 分布式电源电能计量管理策略</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 智能变电站混合混杂电能计量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3.1 智能变电站现状及电能计量模式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3.2 智能变电站电能计量模式误差分析</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3.3 智能变电站电能计量装置运维管理</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 智能电能表故障预警及舆情应对机制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4.1 智能电能表的结构与工作原理</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4.2 智能电能表故障分析</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4.3 智能电能表故障预警措施</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4.4 智能电能表舆情分析</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4.5 智能电能表舆情应对机制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 电能计量箱质量评价体系及监督管控</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5.1 电能计量箱运行现状及质量分析</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5.2 电能计量箱质量评价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5.3 电能计量箱质量监督和管控</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5.4 电能计量箱质量管控实施</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 电能计量管理系统</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6.1 概述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6.2 计量系统管理</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6.3 业务体系管理</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6.4 电能计量系统评价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
    <w:p/>
    <w:p/>
    <w:p>
      <w:pPr>
        <w:rPr>
          <w:rFonts w:hint="eastAsia" w:eastAsiaTheme="minorEastAsia"/>
          <w:lang w:eastAsia="zh-CN"/>
        </w:rPr>
      </w:pPr>
      <w:r>
        <w:rPr>
          <w:rFonts w:hint="eastAsia" w:eastAsiaTheme="minorEastAsia"/>
          <w:lang w:eastAsia="zh-CN"/>
        </w:rPr>
        <w:drawing>
          <wp:inline distT="0" distB="0" distL="114300" distR="114300">
            <wp:extent cx="4888865" cy="6677025"/>
            <wp:effectExtent l="0" t="0" r="6985" b="9525"/>
            <wp:docPr id="4" name="图片 4" descr="TTP8V~N}M{$2[PGWDUHD9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TP8V~N}M{$2[PGWDUHD9Y5"/>
                    <pic:cNvPicPr>
                      <a:picLocks noChangeAspect="1"/>
                    </pic:cNvPicPr>
                  </pic:nvPicPr>
                  <pic:blipFill>
                    <a:blip r:embed="rId7"/>
                    <a:stretch>
                      <a:fillRect/>
                    </a:stretch>
                  </pic:blipFill>
                  <pic:spPr>
                    <a:xfrm>
                      <a:off x="0" y="0"/>
                      <a:ext cx="4888865" cy="667702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书名:智能电网用户用电行为分析方法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定价：62元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作者:李扬,高赐威,孙毅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出版社：中国电力出版社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cstheme="minorEastAsia"/>
          <w:b w:val="0"/>
          <w:i w:val="0"/>
          <w:caps w:val="0"/>
          <w:color w:val="auto"/>
          <w:spacing w:val="0"/>
          <w:kern w:val="0"/>
          <w:sz w:val="24"/>
          <w:szCs w:val="24"/>
          <w:shd w:val="clear" w:fill="FFFFFF"/>
          <w:lang w:val="en-US" w:eastAsia="zh-CN" w:bidi="ar"/>
        </w:rPr>
        <w:t>2019-03-01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ISBN：9787512399921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页码：236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装帧：平装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开本：16开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482" w:right="0" w:hanging="482" w:hangingChars="200"/>
        <w:jc w:val="left"/>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智能电网用户用电行为分析方法》立足于典型电力负荷的特点和影响用户用电行为的因素分析，从实验设计与实际应用两个方面开展了对用户用电行为分析方法的研究。全书共分4篇13章，*一篇为基于实验设计的用户用电行为分析，提出了一种实验性的设计方法，通过随机对照实验，提供可靠的估计数据，继而形成用户节约用电的潜力分析；*二篇为基于实际应用的用户用屯行为分析，根据海量数据的收集和分析，对用户的用电行为特性进行挖掘和分类；第三篇为智能电网用户用电行为分析*级应用，分析了用户消费心理、群体行为、政策等多种因素对用户用电行为的影响：第四篇为智能电网典型设备用电行为分析，研究了空调负荷、电动汽车以及家居负荷的用电行为． 　　《智能电网用户用电行为分析方法》可供相关工程技术人员、高等院校电气工程学科研究生使用。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前言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绪论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0．1 用户用电行为分析定义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0．2 用户用电行为分析目的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0．3 各国用户用电行为分析应用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0．4 本书主要内容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一篇 基于实验设计的用户用电行为分析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1章 实验设计用户行为分析方法概述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2章 评估流程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2．1 评估流程的要素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 电价和其他措施的特性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2．3 实验设计和参考负荷的选择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2．4 实验设计的评估与诊断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第3章 负荷影响分析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3．1 基于事件的实验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3．2 非基于事件的实验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第4章 价格响应模型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4．1 需求的自身价格弹性估计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4．2 替代弹性估算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本篇小结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二篇 基于实际应用的用户用电行为分析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第5章 智能电网电力用户用电行为分析基本理论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5．1 智能电网电力用户用电行为特性指标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5．2 基于实际应用的用电行为分析流程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第6章 用户侵入式及非侵入式用电数据获取方法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6．1 用电负荷监测分解与改进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6．2 多维度负荷分类体系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6．3 基于模糊隶属度函数的用户负荷分解模型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6．4 多维度体系算法特点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6．5 多维度体系算例分析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第7章 基于海量数据分析的用户行为特性辨识理论及方法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7．1 海量数据分析方法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7．2 电力用户行为分析方法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7．3 智能电网多维度用户行为特性辨识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本篇小结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第三篇 智能电网用户用电行为分析*级应用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第8章 基于消费心理的用户用电行为分析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8．1 消费心理对用户用电行为的影响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8．2 基于消费心理的用电行为分析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8．3 基于消费心理的用电行为分析实例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第9章 基于群体行为的用户用电行为分析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9．1 群体行为对用户用电行为的影响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9．2 用户参与需求响应从众行为模型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9．3 用户需求响应参与模型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9．4 基于人工智能的需求响应从众行为影响辨识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9．5 需求响应从众因素影响仿真算例分析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10章 基于政策影响的用户用电行为分析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10．1 政策对用户用电行为的影响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10．2 需求响应项目的用户参与模型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10．3 参与模型影响因素分析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10．4 基于支持向量机的用户参与度预测模型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10．5 政策影响仿真算例分析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本篇小结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第四篇 智能电网典型设备用电行为分析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11章 空调负荷用电行为分析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11．1 空调系统建模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11．2 空调负荷的聚合模型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11．3 空调负荷的控制模式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11．4 空调负荷的调控策略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12章 电动汽车用电行为分析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12．1 电动汽车的应用和研究现状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12．2 电动汽车行为特性分析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13章 家居负荷用电行为分析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13．1 家居设备负荷行为特性描述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13．2 基于家居设备行为特性的优化运行模型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本篇小结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附录A 系统聚类的方法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eastAsia" w:eastAsiaTheme="minorEastAsia"/>
          <w:lang w:eastAsia="zh-CN"/>
        </w:rPr>
      </w:pPr>
      <w:r>
        <w:rPr>
          <w:rFonts w:hint="eastAsia" w:eastAsiaTheme="minorEastAsia"/>
          <w:lang w:eastAsia="zh-CN"/>
        </w:rPr>
        <w:drawing>
          <wp:inline distT="0" distB="0" distL="114300" distR="114300">
            <wp:extent cx="4646295" cy="7534275"/>
            <wp:effectExtent l="0" t="0" r="1905" b="9525"/>
            <wp:docPr id="5" name="图片 5" descr="3I5NR)[YB1ZAPR$SQL0E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I5NR)[YB1ZAPR$SQL0EDIK"/>
                    <pic:cNvPicPr>
                      <a:picLocks noChangeAspect="1"/>
                    </pic:cNvPicPr>
                  </pic:nvPicPr>
                  <pic:blipFill>
                    <a:blip r:embed="rId8"/>
                    <a:stretch>
                      <a:fillRect/>
                    </a:stretch>
                  </pic:blipFill>
                  <pic:spPr>
                    <a:xfrm>
                      <a:off x="0" y="0"/>
                      <a:ext cx="4646295" cy="753427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书名:资本主义与二十一世纪</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定价：58.00元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作者:黄仁宇</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出版社：九州出版社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出版日期：2019-01-01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ISBN：9787510875663</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开本：32开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页数：420</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以“大历史”之视野，缕析14世纪以来世界史中大变动的路径，审视资本主义兴起时的社会经济与经营模式，及其在各国不同的民族、文化背景之中的演化，着重叙述西方资本主义的发生、发展过程，以及资本主义思想体系的形成过程，探讨了中国社会的性质及今后的发展方向。</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目　　录</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第一章 问题的重心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第二章 威尼斯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第三章 荷兰</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第四章 英国</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第五章 资本主义思想体系之形成</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第六章 美国、日本和德国</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第七章 法国大革命、俄国的十月革命和中国的长期革命</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第八章 总结</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参考书目</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C5CB4"/>
    <w:rsid w:val="596C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2020-04-23T11:52:00Z</dcterms:created>
  <dc:creator>Administrator</dc:creator>
  <cp:lastModifiedBy>Administrator</cp:lastModifiedBy>
  <dcterms:modified xsi:type="dcterms:W3CDTF">2020-04-23T11:57:40Z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