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240" w:lineRule="auto"/>
        <w:jc w:val="center"/>
        <w:rPr>
          <w:rFonts w:hint="eastAsia" w:ascii="宋体" w:hAnsi="宋体" w:eastAsia="宋体" w:cs="宋体"/>
          <w:b/>
          <w:bCs/>
          <w:kern w:val="2"/>
          <w:sz w:val="4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24"/>
        </w:rPr>
        <w:t>山东电力高等专科学校</w:t>
      </w:r>
    </w:p>
    <w:p>
      <w:pPr>
        <w:pStyle w:val="4"/>
        <w:spacing w:line="240" w:lineRule="auto"/>
        <w:jc w:val="center"/>
        <w:rPr>
          <w:rFonts w:hint="eastAsia" w:ascii="宋体" w:hAnsi="宋体" w:eastAsia="宋体" w:cs="宋体"/>
          <w:b/>
          <w:bCs/>
          <w:kern w:val="2"/>
          <w:sz w:val="4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24"/>
        </w:rPr>
        <w:t>图书馆管理办法</w:t>
      </w:r>
    </w:p>
    <w:p>
      <w:pPr>
        <w:pStyle w:val="4"/>
        <w:spacing w:before="312" w:beforeLines="100" w:after="312" w:afterLines="100" w:line="240" w:lineRule="auto"/>
        <w:jc w:val="center"/>
        <w:rPr>
          <w:rFonts w:hint="eastAsia" w:ascii="黑体" w:hAnsi="Times New Roman" w:eastAsia="黑体" w:cs="Times New Roman"/>
          <w:bCs/>
          <w:kern w:val="44"/>
        </w:rPr>
      </w:pPr>
      <w:r>
        <w:rPr>
          <w:rFonts w:hint="eastAsia" w:ascii="黑体" w:hAnsi="Times New Roman" w:eastAsia="黑体" w:cs="Times New Roman"/>
          <w:bCs/>
          <w:kern w:val="44"/>
        </w:rPr>
        <w:t>第一章 总则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Times New Roman" w:eastAsia="仿宋_GB2312" w:cs="华文仿宋."/>
          <w:b/>
          <w:sz w:val="32"/>
          <w:szCs w:val="32"/>
        </w:rPr>
        <w:t>第一条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方正仿宋_GBK" w:eastAsia="仿宋_GB2312" w:cs="Times New Roman"/>
          <w:bCs/>
          <w:sz w:val="32"/>
          <w:szCs w:val="32"/>
        </w:rPr>
        <w:t>为加强图书馆科学化管理，促进图书馆建设，提升图书馆管理水平，提供优质服务，制定本管理办法。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Times New Roman" w:eastAsia="仿宋_GB2312" w:cs="华文仿宋."/>
          <w:b/>
          <w:sz w:val="32"/>
          <w:szCs w:val="32"/>
        </w:rPr>
        <w:t>第二条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  <w:t>本管理</w:t>
      </w:r>
      <w:r>
        <w:rPr>
          <w:rFonts w:hint="eastAsia" w:ascii="仿宋_GB2312" w:hAnsi="方正仿宋_GBK" w:eastAsia="仿宋_GB2312" w:cs="Times New Roman"/>
          <w:bCs/>
          <w:sz w:val="32"/>
          <w:szCs w:val="32"/>
        </w:rPr>
        <w:t>办法适用于图书馆的建设、运行、管理与服务等活动。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Times New Roman" w:eastAsia="仿宋_GB2312" w:cs="华文仿宋."/>
          <w:b/>
          <w:sz w:val="32"/>
          <w:szCs w:val="32"/>
        </w:rPr>
        <w:t>第</w:t>
      </w:r>
      <w:r>
        <w:rPr>
          <w:rFonts w:hint="eastAsia" w:ascii="仿宋_GB2312" w:hAnsi="Times New Roman" w:eastAsia="仿宋_GB2312" w:cs="华文仿宋."/>
          <w:b/>
          <w:sz w:val="32"/>
          <w:szCs w:val="32"/>
        </w:rPr>
        <w:t>三条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  <w:t>网络学习服务中心</w:t>
      </w:r>
      <w:r>
        <w:rPr>
          <w:rFonts w:hint="eastAsia" w:ascii="仿宋_GB2312" w:hAnsi="方正仿宋_GBK" w:eastAsia="仿宋_GB2312" w:cs="Times New Roman"/>
          <w:bCs/>
          <w:sz w:val="32"/>
          <w:szCs w:val="32"/>
        </w:rPr>
        <w:t>负责图书馆日常管理工作。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312" w:beforeLines="100" w:after="312" w:afterLines="100" w:line="24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Times New Roman" w:eastAsia="黑体" w:cs="Times New Roman"/>
          <w:bCs/>
          <w:kern w:val="44"/>
          <w:sz w:val="32"/>
          <w:szCs w:val="32"/>
          <w:lang w:val="en-US" w:eastAsia="zh-CN" w:bidi="ar-SA"/>
        </w:rPr>
        <w:t>第二章 组织机构及职责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Times New Roman" w:eastAsia="仿宋_GB2312" w:cs="华文仿宋."/>
          <w:b/>
          <w:sz w:val="32"/>
          <w:szCs w:val="32"/>
        </w:rPr>
        <w:t>第四条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  <w:t>图书馆实行分管校长领导下的馆长负责制。馆长由网络学习服务中心负责人担任。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Times New Roman" w:eastAsia="仿宋_GB2312" w:cs="华文仿宋."/>
          <w:b/>
          <w:sz w:val="32"/>
          <w:szCs w:val="32"/>
        </w:rPr>
        <w:t>第五条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  <w:t>网络学习服务中心管理职责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 w:firstLineChars="200"/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</w:pPr>
      <w:r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  <w:t>（一）建设满足学校教学科研需求且能适应需求变化的文献信息资源，对其进行科学加工和管理维护，并负责组织和协调本校的文献信息资源建设工作，实现文献信息资源的优化配置和共享；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 w:firstLineChars="200"/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</w:pPr>
      <w:r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  <w:t>（二）负责流通阅览、资源推送和参考咨询工作；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 w:firstLineChars="200"/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</w:pPr>
      <w:r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  <w:t>（三）开展素养教育，培养读者的信息意识，提高读者信息道德和获取、利用文献信息的能力；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 w:firstLineChars="200"/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</w:pPr>
      <w:r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  <w:t>（四）开展各种形式的读者活动，加强图书馆与读者的交流；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 w:firstLineChars="200"/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</w:pPr>
      <w:r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  <w:t>（五）负责本专业知识管理活动开展,实现资源共建与共享；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 w:firstLineChars="200"/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</w:pPr>
      <w:r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  <w:t>（六）为行业和当地的社会发展和经济建设提供文献信息服务；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  <w:t>（七）负责图书馆防火、防盗、防水及信息安全管理。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312" w:beforeLines="100" w:after="312" w:afterLines="100" w:line="240" w:lineRule="auto"/>
        <w:jc w:val="center"/>
        <w:rPr>
          <w:rFonts w:hint="eastAsia" w:ascii="黑体" w:hAnsi="Times New Roman" w:eastAsia="黑体" w:cs="Times New Roman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 w:cs="Times New Roman"/>
          <w:bCs/>
          <w:kern w:val="44"/>
          <w:sz w:val="32"/>
          <w:szCs w:val="32"/>
          <w:lang w:val="en-US" w:eastAsia="zh-CN" w:bidi="ar-SA"/>
        </w:rPr>
        <w:t>第三章 资源建设与管理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3" w:firstLineChars="200"/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华文仿宋."/>
          <w:b/>
          <w:sz w:val="32"/>
          <w:szCs w:val="32"/>
        </w:rPr>
        <w:t>第六条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  <w:t>图书馆经费列入学校预算。经费包括运行经费和专项经费，运行经费主要包括办公家具、设备维护和办公费等，专项经费包括文献信息资源购置费、设备设施购置费、软件升级及维护费、馆舍维修费等。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Times New Roman" w:eastAsia="仿宋_GB2312" w:cs="华文仿宋."/>
          <w:b/>
          <w:sz w:val="32"/>
          <w:szCs w:val="32"/>
        </w:rPr>
        <w:t>第七条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  <w:t>网络学习服务中心负责制定图书馆馆藏资源的建设规划，构建科学的馆藏体系。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Times New Roman" w:eastAsia="仿宋_GB2312" w:cs="华文仿宋."/>
          <w:b/>
          <w:sz w:val="32"/>
          <w:szCs w:val="32"/>
        </w:rPr>
        <w:t>第八条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  <w:t>网络学习服务中心负责建立文献资源采购咨询制度，广泛征求用户对文献资源采购等方面的意见。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Times New Roman" w:eastAsia="仿宋_GB2312" w:cs="华文仿宋."/>
          <w:b/>
          <w:sz w:val="32"/>
          <w:szCs w:val="32"/>
        </w:rPr>
        <w:t>第九条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  <w:t>图书馆对单位和人捐赠的书籍，及时分类加工上架并编制目录，供读者使用。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Times New Roman" w:eastAsia="仿宋_GB2312" w:cs="华文仿宋."/>
          <w:b/>
          <w:sz w:val="32"/>
          <w:szCs w:val="32"/>
        </w:rPr>
        <w:t>第十条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  <w:t>制定年度购书计划，满足纸质藏书量生均拥有图书册数不少于80册，生均年增新书量不少于3册。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3" w:firstLineChars="200"/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华文仿宋."/>
          <w:b/>
          <w:sz w:val="32"/>
          <w:szCs w:val="32"/>
        </w:rPr>
        <w:t>第十一条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  <w:t>网络学习服务中心负责建立馆藏文献资源目录。规范实施采访、编目加工, 对馆藏文献信息资源进行整理。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3" w:firstLineChars="200"/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华文仿宋."/>
          <w:b/>
          <w:sz w:val="32"/>
          <w:szCs w:val="32"/>
        </w:rPr>
        <w:t>第十二条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  <w:t>网络学习服务中心负责组织实施馆藏文献剔除。流程如下：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 w:firstLineChars="200"/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</w:pPr>
      <w:r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  <w:t>（一）制定文献剔除原则和标准；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 w:firstLineChars="200"/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</w:pPr>
      <w:r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  <w:t>（二）拟定并向学校上报剔除文献清单；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 w:firstLineChars="200"/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</w:pPr>
      <w:r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  <w:t>（三）审批通过后，协助资产管理部门处置相应文献；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0" w:firstLineChars="200"/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</w:pPr>
      <w:r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  <w:t>（四）修改完善馆藏文献信息。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3" w:firstLineChars="200"/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华文仿宋."/>
          <w:b/>
          <w:sz w:val="32"/>
          <w:szCs w:val="32"/>
        </w:rPr>
        <w:t>第十三条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  <w:t>网络学习服务中心负责数字文献资源建设，开展数字资源产品开发和技术研究。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Times New Roman" w:eastAsia="仿宋_GB2312" w:cs="华文仿宋."/>
          <w:b/>
          <w:sz w:val="32"/>
          <w:szCs w:val="32"/>
        </w:rPr>
        <w:t>第十四条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  <w:t>网络学习服务中心负责建立线上线下相结合的资源管理与服务平台，将不同类型、不同载体的资源有效整合，为读者提供便捷的数字化、网络化服务。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3" w:firstLineChars="200"/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华文仿宋."/>
          <w:b/>
          <w:sz w:val="32"/>
          <w:szCs w:val="32"/>
        </w:rPr>
        <w:t>第十五条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  <w:t>网络学习服务中心负责做好文献信息资源的保存和保护工作，配置安全保护设备和人员，保障人身和财产安全。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312" w:beforeLines="100" w:after="312" w:afterLines="100" w:line="240" w:lineRule="auto"/>
        <w:jc w:val="center"/>
        <w:rPr>
          <w:rFonts w:hint="eastAsia" w:ascii="黑体" w:hAnsi="Times New Roman" w:eastAsia="黑体" w:cs="Times New Roman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 w:cs="Times New Roman"/>
          <w:bCs/>
          <w:kern w:val="44"/>
          <w:sz w:val="32"/>
          <w:szCs w:val="32"/>
          <w:lang w:val="en-US" w:eastAsia="zh-CN" w:bidi="ar-SA"/>
        </w:rPr>
        <w:t>第四章 图书馆服务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Times New Roman" w:eastAsia="仿宋_GB2312" w:cs="华文仿宋."/>
          <w:b/>
          <w:sz w:val="32"/>
          <w:szCs w:val="32"/>
        </w:rPr>
        <w:t>第十六条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  <w:t>坚持安全、规范、开放和便利的服务原则，为读者提供文献的阅览、外借、查询、参考咨询等服务。</w:t>
      </w:r>
      <w:bookmarkStart w:id="0" w:name="_GoBack"/>
      <w:bookmarkEnd w:id="0"/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3" w:firstLineChars="200"/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华文仿宋."/>
          <w:b/>
          <w:sz w:val="32"/>
          <w:szCs w:val="32"/>
        </w:rPr>
        <w:t>第十七条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  <w:t>保障充足的开放时间，每周的开放时间不少于七十二小时，并根据需要在午休、课余时间及周末向读者开放。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Times New Roman" w:eastAsia="仿宋_GB2312" w:cs="华文仿宋."/>
          <w:b/>
          <w:sz w:val="32"/>
          <w:szCs w:val="32"/>
        </w:rPr>
        <w:t>第十八条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  <w:t>开展多层次多方式的读者服务，提高各种文献的利用率。兼顾纸质文献、电子文献和其它载体文献的流通阅览，积极推广纸质文献开架借阅、电子资源上网服务。通过编制导读书目，举办书刊展评等多种方式进行阅读辅导。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Times New Roman" w:eastAsia="仿宋_GB2312" w:cs="华文仿宋."/>
          <w:b/>
          <w:sz w:val="32"/>
          <w:szCs w:val="32"/>
        </w:rPr>
        <w:t>第十九条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  <w:t>举办学术讲座、专题辅导和知识展览等活动，向读者宣传介绍图书馆资源、服务、规章制度等，帮助读者查找图书馆资源，引导读者利用图书馆。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3" w:firstLineChars="200"/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华文仿宋."/>
          <w:b/>
          <w:sz w:val="32"/>
          <w:szCs w:val="32"/>
        </w:rPr>
        <w:t>第二十条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  <w:t>开展素养教育。引导读者自觉遵守图书馆有关维护公共秩序的各项制度，合理利用并爱护图书馆的文献信息资源、公共设施设备，妥善保管并按规定日期归还所借文献信息资源。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3" w:firstLineChars="200"/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华文仿宋."/>
          <w:b/>
          <w:sz w:val="32"/>
          <w:szCs w:val="32"/>
        </w:rPr>
        <w:t>第二十一条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  <w:r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  <w:t>通过读者座谈会、网络调查、实物信箱调查等方式获取读者对图书馆工作的评价，并对合理建议加以采纳、适时反馈。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Times New Roman" w:eastAsia="仿宋_GB2312" w:cs="华文仿宋."/>
          <w:b/>
          <w:sz w:val="32"/>
          <w:szCs w:val="32"/>
        </w:rPr>
        <w:t>第二十二条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  <w:t>依法保护和使用用户信息，未经用户同意，不得擅自向第三方披露或者泄露。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312" w:beforeLines="100" w:after="312" w:afterLines="100" w:line="240" w:lineRule="auto"/>
        <w:jc w:val="center"/>
        <w:rPr>
          <w:rFonts w:hint="eastAsia" w:ascii="黑体" w:hAnsi="Times New Roman" w:eastAsia="黑体" w:cs="Times New Roman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 w:cs="Times New Roman"/>
          <w:bCs/>
          <w:kern w:val="44"/>
          <w:sz w:val="32"/>
          <w:szCs w:val="32"/>
          <w:lang w:val="en-US" w:eastAsia="zh-CN" w:bidi="ar-SA"/>
        </w:rPr>
        <w:t>第五章</w:t>
      </w:r>
      <w:r>
        <w:rPr>
          <w:rFonts w:hint="default" w:ascii="黑体" w:hAnsi="Times New Roman" w:eastAsia="黑体" w:cs="Times New Roman"/>
          <w:bCs/>
          <w:kern w:val="44"/>
          <w:sz w:val="32"/>
          <w:szCs w:val="32"/>
          <w:lang w:val="en-US" w:eastAsia="zh-CN" w:bidi="ar-SA"/>
        </w:rPr>
        <w:t xml:space="preserve"> </w:t>
      </w:r>
      <w:r>
        <w:rPr>
          <w:rFonts w:hint="eastAsia" w:ascii="黑体" w:hAnsi="Times New Roman" w:eastAsia="黑体" w:cs="Times New Roman"/>
          <w:bCs/>
          <w:kern w:val="44"/>
          <w:sz w:val="32"/>
          <w:szCs w:val="32"/>
          <w:lang w:val="en-US" w:eastAsia="zh-CN" w:bidi="ar-SA"/>
        </w:rPr>
        <w:t>附则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Times New Roman" w:eastAsia="仿宋_GB2312" w:cs="华文仿宋."/>
          <w:b/>
          <w:sz w:val="32"/>
          <w:szCs w:val="32"/>
        </w:rPr>
        <w:t>第二十三条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  <w:t>本办法由网络学习服务中心负责解释。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43" w:firstLineChars="200"/>
      </w:pPr>
      <w:r>
        <w:rPr>
          <w:rFonts w:hint="eastAsia" w:ascii="仿宋_GB2312" w:hAnsi="Times New Roman" w:eastAsia="仿宋_GB2312" w:cs="华文仿宋."/>
          <w:b/>
          <w:sz w:val="32"/>
          <w:szCs w:val="32"/>
        </w:rPr>
        <w:t>第二十四条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方正仿宋_GBK" w:eastAsia="仿宋_GB2312" w:cs="Times New Roman"/>
          <w:bCs/>
          <w:sz w:val="32"/>
          <w:szCs w:val="32"/>
          <w:lang w:eastAsia="zh-CN"/>
        </w:rPr>
        <w:t>本办法自发布之日起施行。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756FB2"/>
    <w:rsid w:val="031E272C"/>
    <w:rsid w:val="12756FB2"/>
    <w:rsid w:val="6503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  <w:spacing w:line="240" w:lineRule="atLeast"/>
    </w:pPr>
    <w:rPr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2022-06-07T02:14:00Z</dcterms:created>
  <dc:creator>admin</dc:creator>
  <cp:lastModifiedBy>Admin</cp:lastModifiedBy>
  <dcterms:modified xsi:type="dcterms:W3CDTF">2024-05-23T06:56:54Z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DC79C559FF4146A6AEF26E57FD98B9C7</vt:lpwstr>
  </property>
</Properties>
</file>